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420"/>
        <w:jc w:val="center"/>
        <w:rPr>
          <w:rFonts w:ascii="黑体" w:hAnsi="黑体" w:eastAsia="黑体" w:cs="Times New Roman"/>
          <w:b/>
          <w:bCs/>
          <w:color w:val="000000"/>
          <w:kern w:val="0"/>
          <w:sz w:val="44"/>
          <w:szCs w:val="44"/>
        </w:rPr>
      </w:pPr>
      <w:r>
        <w:rPr>
          <w:rFonts w:ascii="黑体" w:hAnsi="黑体" w:eastAsia="黑体" w:cs="Times New Roman"/>
          <w:b/>
          <w:bCs/>
          <w:color w:val="000000"/>
          <w:kern w:val="0"/>
          <w:sz w:val="44"/>
          <w:szCs w:val="44"/>
        </w:rPr>
        <w:fldChar w:fldCharType="begin"/>
      </w:r>
      <w:r>
        <w:rPr>
          <w:rFonts w:ascii="黑体" w:hAnsi="黑体" w:eastAsia="黑体" w:cs="Times New Roman"/>
          <w:b/>
          <w:bCs/>
          <w:color w:val="000000"/>
          <w:kern w:val="0"/>
          <w:sz w:val="44"/>
          <w:szCs w:val="44"/>
        </w:rPr>
        <w:instrText xml:space="preserve">MERGEFIELD ${page540426799.ds254512694_REP_JXJC_AGENCY_WZR_NAME}</w:instrText>
      </w:r>
      <w:r>
        <w:rPr>
          <w:rFonts w:ascii="黑体" w:hAnsi="黑体" w:eastAsia="黑体" w:cs="Times New Roman"/>
          <w:b/>
          <w:bCs/>
          <w:color w:val="000000"/>
          <w:kern w:val="0"/>
          <w:sz w:val="44"/>
          <w:szCs w:val="44"/>
        </w:rPr>
        <w:fldChar w:fldCharType="separate"/>
      </w:r>
      <w:r>
        <w:rPr>
          <w:rFonts w:ascii="黑体" w:hAnsi="黑体" w:eastAsia="黑体" w:cs="Times New Roman"/>
          <w:b/>
          <w:bCs/>
          <w:color w:val="000000"/>
          <w:kern w:val="0"/>
          <w:sz w:val="44"/>
          <w:szCs w:val="44"/>
        </w:rPr>
        <w:t>九江市</w:t>
      </w:r>
      <w:r>
        <w:rPr>
          <w:rFonts w:hint="eastAsia" w:ascii="黑体" w:hAnsi="黑体" w:eastAsia="黑体" w:cs="Times New Roman"/>
          <w:b/>
          <w:bCs/>
          <w:color w:val="000000"/>
          <w:kern w:val="0"/>
          <w:sz w:val="44"/>
          <w:szCs w:val="44"/>
          <w:lang w:eastAsia="zh-CN"/>
        </w:rPr>
        <w:t>工人文化宫</w:t>
      </w:r>
      <w:r>
        <w:fldChar w:fldCharType="end"/>
      </w:r>
      <w:r>
        <w:rPr>
          <w:rFonts w:hint="eastAsia" w:ascii="黑体" w:hAnsi="黑体" w:eastAsia="黑体" w:cs="Times New Roman"/>
          <w:b/>
          <w:bCs/>
          <w:color w:val="000000"/>
          <w:kern w:val="0"/>
          <w:sz w:val="44"/>
          <w:szCs w:val="44"/>
        </w:rPr>
        <w:t>2024年单位预算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九江市</w:t>
      </w:r>
      <w:r>
        <w:rPr>
          <w:rFonts w:hint="eastAsia" w:ascii="仿宋_GB2312" w:eastAsia="仿宋_GB2312"/>
          <w:b/>
          <w:bCs/>
          <w:color w:val="000000"/>
          <w:sz w:val="32"/>
          <w:szCs w:val="32"/>
          <w:lang w:eastAsia="zh-CN"/>
        </w:rPr>
        <w:t>工人文化宫</w:t>
      </w:r>
      <w:r>
        <w:fldChar w:fldCharType="end"/>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九江市</w:t>
      </w:r>
      <w:r>
        <w:rPr>
          <w:rFonts w:hint="eastAsia" w:ascii="仿宋_GB2312" w:eastAsia="仿宋_GB2312"/>
          <w:b/>
          <w:bCs/>
          <w:color w:val="000000"/>
          <w:sz w:val="32"/>
          <w:szCs w:val="32"/>
          <w:lang w:eastAsia="zh-CN"/>
        </w:rPr>
        <w:t>工人文化宫</w:t>
      </w:r>
      <w:r>
        <w:fldChar w:fldCharType="end"/>
      </w:r>
      <w:r>
        <w:rPr>
          <w:rFonts w:hint="eastAsia" w:ascii="仿宋_GB2312" w:eastAsia="仿宋_GB2312"/>
          <w:b/>
          <w:bCs/>
          <w:color w:val="000000"/>
          <w:sz w:val="32"/>
          <w:szCs w:val="32"/>
        </w:rPr>
        <w:t>2024年单位预算表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九江市</w:t>
      </w:r>
      <w:r>
        <w:rPr>
          <w:rFonts w:hint="eastAsia" w:ascii="仿宋_GB2312" w:eastAsia="仿宋_GB2312"/>
          <w:b/>
          <w:bCs/>
          <w:color w:val="000000"/>
          <w:sz w:val="32"/>
          <w:szCs w:val="32"/>
          <w:lang w:eastAsia="zh-CN"/>
        </w:rPr>
        <w:t>工人文化宫</w:t>
      </w:r>
      <w:r>
        <w:fldChar w:fldCharType="end"/>
      </w:r>
      <w:r>
        <w:rPr>
          <w:rFonts w:hint="eastAsia" w:ascii="仿宋_GB2312" w:eastAsia="仿宋_GB2312"/>
          <w:b/>
          <w:bCs/>
          <w:color w:val="000000"/>
          <w:sz w:val="32"/>
          <w:szCs w:val="32"/>
        </w:rPr>
        <w:t>2024年单位预算情况说明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一、2024年</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二、2024年“三公”经费预算情况说明</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ascii="仿宋_GB2312" w:eastAsia="仿宋_GB2312"/>
          <w:b/>
          <w:sz w:val="32"/>
          <w:szCs w:val="30"/>
        </w:rPr>
        <w:t>九江市</w:t>
      </w:r>
      <w:r>
        <w:rPr>
          <w:rFonts w:hint="eastAsia" w:ascii="仿宋_GB2312" w:eastAsia="仿宋_GB2312"/>
          <w:b/>
          <w:sz w:val="32"/>
          <w:szCs w:val="30"/>
          <w:lang w:eastAsia="zh-CN"/>
        </w:rPr>
        <w:t>工人文化宫</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一、单位主要职责</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基本职能：九江市工人文化宫是属于二类公益性事业单位。其主要职责：服务职工、服务社会、服务工运事业，为广大职工群众提供文化活动场所。对外宣传服务职工的窗口和阵地，承担着组织辅导全市职工开展各类文化体育活动，大型文艺演出和文学艺术创作，为职工提供文化娱乐场所等多项社会职能。</w:t>
      </w:r>
    </w:p>
    <w:p>
      <w:pPr>
        <w:ind w:firstLine="723" w:firstLineChars="200"/>
        <w:rPr>
          <w:b/>
          <w:sz w:val="36"/>
          <w:szCs w:val="36"/>
        </w:rPr>
      </w:pPr>
      <w:r>
        <w:rPr>
          <w:rFonts w:hint="eastAsia"/>
          <w:b/>
          <w:sz w:val="36"/>
          <w:szCs w:val="36"/>
        </w:rPr>
        <w:t>二、机构设置及人员情况</w:t>
      </w:r>
    </w:p>
    <w:p>
      <w:pPr>
        <w:ind w:firstLine="640" w:firstLineChars="200"/>
        <w:rPr>
          <w:rFonts w:ascii="仿宋" w:hAnsi="仿宋" w:eastAsia="仿宋"/>
          <w:color w:val="auto"/>
          <w:sz w:val="32"/>
          <w:szCs w:val="32"/>
        </w:rPr>
      </w:pPr>
      <w:r>
        <w:rPr>
          <w:rFonts w:ascii="仿宋" w:hAnsi="仿宋" w:eastAsia="仿宋"/>
          <w:color w:val="auto"/>
          <w:sz w:val="32"/>
          <w:szCs w:val="32"/>
        </w:rPr>
        <w:t>2024</w:t>
      </w:r>
      <w:r>
        <w:rPr>
          <w:rFonts w:hint="eastAsia" w:ascii="仿宋" w:hAnsi="仿宋" w:eastAsia="仿宋"/>
          <w:color w:val="auto"/>
          <w:sz w:val="32"/>
          <w:szCs w:val="32"/>
        </w:rPr>
        <w:t>年</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${page540426799.ds254512694_REP_JXJC_AGENCY_WZR_NAME}</w:instrText>
      </w:r>
      <w:r>
        <w:rPr>
          <w:rFonts w:ascii="仿宋" w:hAnsi="仿宋" w:eastAsia="仿宋"/>
          <w:color w:val="auto"/>
          <w:sz w:val="32"/>
          <w:szCs w:val="32"/>
        </w:rPr>
        <w:fldChar w:fldCharType="separate"/>
      </w:r>
      <w:r>
        <w:rPr>
          <w:rFonts w:ascii="仿宋" w:hAnsi="仿宋" w:eastAsia="仿宋"/>
          <w:color w:val="auto"/>
          <w:sz w:val="32"/>
          <w:szCs w:val="32"/>
        </w:rPr>
        <w:t>九江市</w:t>
      </w:r>
      <w:r>
        <w:rPr>
          <w:rFonts w:hint="eastAsia" w:ascii="仿宋" w:hAnsi="仿宋" w:eastAsia="仿宋"/>
          <w:color w:val="auto"/>
          <w:sz w:val="32"/>
          <w:szCs w:val="32"/>
          <w:lang w:eastAsia="zh-CN"/>
        </w:rPr>
        <w:t>工人文化宫</w:t>
      </w:r>
      <w:r>
        <w:rPr>
          <w:color w:val="auto"/>
        </w:rPr>
        <w:fldChar w:fldCharType="end"/>
      </w:r>
      <w:r>
        <w:rPr>
          <w:rFonts w:hint="eastAsia" w:ascii="仿宋" w:hAnsi="仿宋" w:eastAsia="仿宋"/>
          <w:color w:val="auto"/>
          <w:sz w:val="32"/>
          <w:szCs w:val="32"/>
        </w:rPr>
        <w:t>内设科室</w:t>
      </w:r>
      <w:r>
        <w:rPr>
          <w:rFonts w:hint="eastAsia" w:ascii="仿宋_GB2312" w:eastAsia="仿宋_GB2312"/>
          <w:color w:val="auto"/>
          <w:sz w:val="32"/>
          <w:szCs w:val="30"/>
          <w:u w:val="single"/>
          <w:lang w:val="en-US" w:eastAsia="zh-CN"/>
        </w:rPr>
        <w:t>7</w:t>
      </w:r>
      <w:r>
        <w:rPr>
          <w:rFonts w:ascii="仿宋" w:hAnsi="仿宋" w:eastAsia="仿宋"/>
          <w:color w:val="auto"/>
          <w:sz w:val="32"/>
          <w:szCs w:val="32"/>
        </w:rPr>
        <w:t xml:space="preserve"> </w:t>
      </w:r>
      <w:r>
        <w:rPr>
          <w:rFonts w:hint="eastAsia" w:ascii="仿宋" w:hAnsi="仿宋" w:eastAsia="仿宋"/>
          <w:color w:val="auto"/>
          <w:sz w:val="32"/>
          <w:szCs w:val="32"/>
        </w:rPr>
        <w:t>个，</w:t>
      </w:r>
      <w:r>
        <w:rPr>
          <w:rFonts w:ascii="仿宋" w:hAnsi="仿宋" w:eastAsia="仿宋"/>
          <w:color w:val="auto"/>
          <w:sz w:val="32"/>
          <w:szCs w:val="32"/>
        </w:rPr>
        <w:t>包括</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办公室、财务科、活动部、培训部、运营部、安全水电科、文宣策划部</w:t>
      </w:r>
      <w:r>
        <w:rPr>
          <w:rFonts w:hint="eastAsia" w:ascii="仿宋" w:hAnsi="仿宋" w:eastAsia="仿宋"/>
          <w:color w:val="auto"/>
          <w:sz w:val="32"/>
          <w:szCs w:val="32"/>
        </w:rPr>
        <w:t>。</w:t>
      </w:r>
    </w:p>
    <w:p>
      <w:pPr>
        <w:ind w:firstLine="640" w:firstLineChars="200"/>
        <w:rPr>
          <w:rFonts w:ascii="仿宋_GB2312" w:eastAsia="仿宋_GB2312"/>
          <w:b/>
          <w:szCs w:val="30"/>
        </w:rPr>
      </w:pPr>
      <w:r>
        <w:rPr>
          <w:rFonts w:hint="eastAsia" w:ascii="仿宋" w:hAnsi="仿宋" w:eastAsia="仿宋"/>
          <w:sz w:val="32"/>
          <w:szCs w:val="32"/>
        </w:rPr>
        <w:t>编制人数小计</w:t>
      </w:r>
      <w:r>
        <w:rPr>
          <w:rFonts w:hint="eastAsia" w:ascii="仿宋" w:hAnsi="仿宋" w:eastAsia="仿宋"/>
          <w:sz w:val="32"/>
          <w:szCs w:val="32"/>
          <w:lang w:val="en-US" w:eastAsia="zh-CN"/>
        </w:rPr>
        <w:t>30</w:t>
      </w:r>
      <w:r>
        <w:rPr>
          <w:rFonts w:hint="eastAsia" w:ascii="仿宋" w:hAnsi="仿宋" w:eastAsia="仿宋"/>
          <w:sz w:val="32"/>
          <w:szCs w:val="32"/>
        </w:rPr>
        <w:t>人,其中：行政编制人数</w:t>
      </w:r>
      <w:r>
        <w:rPr>
          <w:rFonts w:hint="eastAsia" w:ascii="仿宋" w:hAnsi="仿宋" w:eastAsia="仿宋"/>
          <w:sz w:val="32"/>
          <w:szCs w:val="32"/>
          <w:lang w:val="en-US" w:eastAsia="zh-CN"/>
        </w:rPr>
        <w:t>0</w:t>
      </w:r>
      <w:r>
        <w:rPr>
          <w:rFonts w:hint="eastAsia" w:ascii="仿宋" w:hAnsi="仿宋" w:eastAsia="仿宋"/>
          <w:sz w:val="32"/>
          <w:szCs w:val="32"/>
        </w:rPr>
        <w:t>人,参照公务员管理的事业编制人数</w:t>
      </w:r>
      <w:r>
        <w:rPr>
          <w:rFonts w:hint="eastAsia" w:ascii="仿宋" w:hAnsi="仿宋" w:eastAsia="仿宋"/>
          <w:sz w:val="32"/>
          <w:szCs w:val="32"/>
          <w:lang w:val="en-US" w:eastAsia="zh-CN"/>
        </w:rPr>
        <w:t>0</w:t>
      </w:r>
      <w:r>
        <w:rPr>
          <w:rFonts w:hint="eastAsia" w:ascii="仿宋" w:hAnsi="仿宋" w:eastAsia="仿宋"/>
          <w:sz w:val="32"/>
          <w:szCs w:val="32"/>
        </w:rPr>
        <w:t>人,全部补助事业编制人数</w:t>
      </w:r>
      <w:r>
        <w:rPr>
          <w:rFonts w:hint="eastAsia" w:ascii="仿宋" w:hAnsi="仿宋" w:eastAsia="仿宋"/>
          <w:sz w:val="32"/>
          <w:szCs w:val="32"/>
          <w:lang w:val="en-US" w:eastAsia="zh-CN"/>
        </w:rPr>
        <w:t>7</w:t>
      </w:r>
      <w:r>
        <w:rPr>
          <w:rFonts w:hint="eastAsia" w:ascii="仿宋" w:hAnsi="仿宋" w:eastAsia="仿宋"/>
          <w:sz w:val="32"/>
          <w:szCs w:val="32"/>
        </w:rPr>
        <w:t>人,自收自支编制人数</w:t>
      </w:r>
      <w:r>
        <w:rPr>
          <w:rFonts w:hint="eastAsia" w:ascii="仿宋" w:hAnsi="仿宋" w:eastAsia="仿宋"/>
          <w:sz w:val="32"/>
          <w:szCs w:val="32"/>
          <w:lang w:val="en-US" w:eastAsia="zh-CN"/>
        </w:rPr>
        <w:t>22</w:t>
      </w:r>
      <w:r>
        <w:rPr>
          <w:rFonts w:hint="eastAsia" w:ascii="仿宋" w:hAnsi="仿宋" w:eastAsia="仿宋"/>
          <w:sz w:val="32"/>
          <w:szCs w:val="32"/>
        </w:rPr>
        <w:t>人。实有人数小计</w:t>
      </w:r>
      <w:r>
        <w:rPr>
          <w:rFonts w:hint="eastAsia" w:ascii="仿宋" w:hAnsi="仿宋" w:eastAsia="仿宋"/>
          <w:sz w:val="32"/>
          <w:szCs w:val="32"/>
          <w:lang w:val="en-US" w:eastAsia="zh-CN"/>
        </w:rPr>
        <w:t>29</w:t>
      </w:r>
      <w:r>
        <w:rPr>
          <w:rFonts w:hint="eastAsia" w:ascii="仿宋" w:hAnsi="仿宋" w:eastAsia="仿宋"/>
          <w:sz w:val="32"/>
          <w:szCs w:val="32"/>
        </w:rPr>
        <w:t>人,其中：在职人数小计</w:t>
      </w:r>
      <w:r>
        <w:rPr>
          <w:rFonts w:hint="eastAsia" w:ascii="仿宋" w:hAnsi="仿宋" w:eastAsia="仿宋"/>
          <w:sz w:val="32"/>
          <w:szCs w:val="32"/>
          <w:lang w:val="en-US" w:eastAsia="zh-CN"/>
        </w:rPr>
        <w:t>29</w:t>
      </w:r>
      <w:r>
        <w:rPr>
          <w:rFonts w:hint="eastAsia" w:ascii="仿宋" w:hAnsi="仿宋" w:eastAsia="仿宋"/>
          <w:sz w:val="32"/>
          <w:szCs w:val="32"/>
        </w:rPr>
        <w:t>人,行政在职人数</w:t>
      </w:r>
      <w:r>
        <w:rPr>
          <w:rFonts w:hint="eastAsia" w:ascii="仿宋" w:hAnsi="仿宋" w:eastAsia="仿宋"/>
          <w:sz w:val="32"/>
          <w:szCs w:val="32"/>
          <w:lang w:val="en-US" w:eastAsia="zh-CN"/>
        </w:rPr>
        <w:t>0</w:t>
      </w:r>
      <w:r>
        <w:rPr>
          <w:rFonts w:hint="eastAsia" w:ascii="仿宋" w:hAnsi="仿宋" w:eastAsia="仿宋"/>
          <w:sz w:val="32"/>
          <w:szCs w:val="32"/>
        </w:rPr>
        <w:t>人,参照公务员管理的事业单位在职人数</w:t>
      </w:r>
      <w:r>
        <w:rPr>
          <w:rFonts w:hint="eastAsia" w:ascii="仿宋" w:hAnsi="仿宋" w:eastAsia="仿宋"/>
          <w:sz w:val="32"/>
          <w:szCs w:val="32"/>
          <w:lang w:val="en-US" w:eastAsia="zh-CN"/>
        </w:rPr>
        <w:t>0</w:t>
      </w:r>
      <w:r>
        <w:rPr>
          <w:rFonts w:hint="eastAsia" w:ascii="仿宋" w:hAnsi="仿宋" w:eastAsia="仿宋"/>
          <w:sz w:val="32"/>
          <w:szCs w:val="32"/>
        </w:rPr>
        <w:t>人,全部补助事业在职人数</w:t>
      </w:r>
      <w:r>
        <w:rPr>
          <w:rFonts w:hint="eastAsia" w:ascii="仿宋" w:hAnsi="仿宋" w:eastAsia="仿宋"/>
          <w:sz w:val="32"/>
          <w:szCs w:val="32"/>
          <w:lang w:val="en-US" w:eastAsia="zh-CN"/>
        </w:rPr>
        <w:t>7</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lang w:val="en-US" w:eastAsia="zh-CN"/>
        </w:rPr>
        <w:t>自收自支编制</w:t>
      </w:r>
      <w:bookmarkStart w:id="0" w:name="_GoBack"/>
      <w:bookmarkEnd w:id="0"/>
      <w:r>
        <w:rPr>
          <w:rFonts w:hint="eastAsia" w:ascii="仿宋" w:hAnsi="仿宋" w:eastAsia="仿宋"/>
          <w:sz w:val="32"/>
          <w:szCs w:val="32"/>
          <w:lang w:val="en-US" w:eastAsia="zh-CN"/>
        </w:rPr>
        <w:t>人数22人</w:t>
      </w:r>
      <w:r>
        <w:rPr>
          <w:rFonts w:hint="eastAsia" w:ascii="仿宋" w:hAnsi="仿宋" w:eastAsia="仿宋"/>
          <w:sz w:val="32"/>
          <w:szCs w:val="32"/>
        </w:rPr>
        <w:t>。离休人数小计</w:t>
      </w:r>
      <w:r>
        <w:rPr>
          <w:rFonts w:hint="eastAsia" w:ascii="仿宋" w:hAnsi="仿宋" w:eastAsia="仿宋"/>
          <w:sz w:val="32"/>
          <w:szCs w:val="32"/>
          <w:lang w:val="en-US" w:eastAsia="zh-CN"/>
        </w:rPr>
        <w:t>0</w:t>
      </w:r>
      <w:r>
        <w:rPr>
          <w:rFonts w:hint="eastAsia" w:ascii="仿宋" w:hAnsi="仿宋" w:eastAsia="仿宋"/>
          <w:sz w:val="32"/>
          <w:szCs w:val="32"/>
        </w:rPr>
        <w:t>人,退休人数小计</w:t>
      </w:r>
      <w:r>
        <w:rPr>
          <w:rFonts w:hint="eastAsia" w:ascii="仿宋" w:hAnsi="仿宋" w:eastAsia="仿宋"/>
          <w:sz w:val="32"/>
          <w:szCs w:val="32"/>
          <w:lang w:val="en-US" w:eastAsia="zh-CN"/>
        </w:rPr>
        <w:t>30</w:t>
      </w:r>
      <w:r>
        <w:rPr>
          <w:rFonts w:hint="eastAsia" w:ascii="仿宋" w:hAnsi="仿宋" w:eastAsia="仿宋"/>
          <w:sz w:val="32"/>
          <w:szCs w:val="32"/>
        </w:rPr>
        <w:t>人,退职人员</w:t>
      </w:r>
      <w:r>
        <w:rPr>
          <w:rFonts w:hint="eastAsia" w:ascii="仿宋" w:hAnsi="仿宋" w:eastAsia="仿宋"/>
          <w:sz w:val="32"/>
          <w:szCs w:val="32"/>
          <w:lang w:val="en-US" w:eastAsia="zh-CN"/>
        </w:rPr>
        <w:t>0</w:t>
      </w:r>
      <w:r>
        <w:rPr>
          <w:rFonts w:hint="eastAsia" w:ascii="仿宋" w:hAnsi="仿宋" w:eastAsia="仿宋"/>
          <w:sz w:val="32"/>
          <w:szCs w:val="32"/>
        </w:rPr>
        <w:t>人,遗属人数</w:t>
      </w:r>
      <w:r>
        <w:rPr>
          <w:rFonts w:hint="eastAsia" w:ascii="仿宋" w:hAnsi="仿宋" w:eastAsia="仿宋"/>
          <w:sz w:val="32"/>
          <w:szCs w:val="32"/>
          <w:lang w:val="en-US" w:eastAsia="zh-CN"/>
        </w:rPr>
        <w:t>0</w:t>
      </w:r>
      <w:r>
        <w:rPr>
          <w:rFonts w:hint="eastAsia" w:ascii="仿宋" w:hAnsi="仿宋" w:eastAsia="仿宋"/>
          <w:sz w:val="32"/>
          <w:szCs w:val="32"/>
        </w:rPr>
        <w:t>人。在校学生</w:t>
      </w:r>
      <w:r>
        <w:rPr>
          <w:rFonts w:hint="eastAsia" w:ascii="仿宋" w:hAnsi="仿宋" w:eastAsia="仿宋"/>
          <w:sz w:val="32"/>
          <w:szCs w:val="32"/>
          <w:lang w:val="en-US" w:eastAsia="zh-CN"/>
        </w:rPr>
        <w:t>0</w:t>
      </w:r>
      <w:r>
        <w:rPr>
          <w:rFonts w:hint="eastAsia" w:ascii="仿宋" w:hAnsi="仿宋" w:eastAsia="仿宋"/>
          <w:sz w:val="32"/>
          <w:szCs w:val="32"/>
        </w:rPr>
        <w:t>人,其中：本科生人数</w:t>
      </w:r>
      <w:r>
        <w:rPr>
          <w:rFonts w:hint="eastAsia" w:ascii="仿宋" w:hAnsi="仿宋" w:eastAsia="仿宋"/>
          <w:sz w:val="32"/>
          <w:szCs w:val="32"/>
          <w:lang w:val="en-US" w:eastAsia="zh-CN"/>
        </w:rPr>
        <w:t>0</w:t>
      </w:r>
      <w:r>
        <w:rPr>
          <w:rFonts w:hint="eastAsia" w:ascii="仿宋" w:hAnsi="仿宋" w:eastAsia="仿宋"/>
          <w:sz w:val="32"/>
          <w:szCs w:val="32"/>
        </w:rPr>
        <w:t>人，专科生人数</w:t>
      </w:r>
      <w:r>
        <w:rPr>
          <w:rFonts w:hint="eastAsia" w:ascii="仿宋" w:hAnsi="仿宋" w:eastAsia="仿宋"/>
          <w:sz w:val="32"/>
          <w:szCs w:val="32"/>
          <w:lang w:val="en-US" w:eastAsia="zh-CN"/>
        </w:rPr>
        <w:t>0</w:t>
      </w:r>
      <w:r>
        <w:rPr>
          <w:rFonts w:hint="eastAsia" w:ascii="仿宋" w:hAnsi="仿宋" w:eastAsia="仿宋"/>
          <w:sz w:val="32"/>
          <w:szCs w:val="32"/>
        </w:rPr>
        <w:t>人。</w:t>
      </w: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ascii="仿宋_GB2312" w:eastAsia="仿宋_GB2312"/>
          <w:b/>
          <w:sz w:val="32"/>
          <w:szCs w:val="30"/>
        </w:rPr>
        <w:t>九江市</w:t>
      </w:r>
      <w:r>
        <w:rPr>
          <w:rFonts w:hint="eastAsia" w:ascii="仿宋_GB2312" w:eastAsia="仿宋_GB2312"/>
          <w:b/>
          <w:sz w:val="32"/>
          <w:szCs w:val="30"/>
          <w:lang w:eastAsia="zh-CN"/>
        </w:rPr>
        <w:t>工人文化宫</w:t>
      </w:r>
      <w:r>
        <w:fldChar w:fldCharType="end"/>
      </w:r>
      <w:r>
        <w:rPr>
          <w:rFonts w:hint="eastAsia" w:ascii="仿宋_GB2312" w:eastAsia="仿宋_GB2312"/>
          <w:b/>
          <w:sz w:val="32"/>
          <w:szCs w:val="30"/>
        </w:rPr>
        <w:t>2024年单位预算表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r>
        <w:drawing>
          <wp:inline distT="0" distB="0" distL="114300" distR="114300">
            <wp:extent cx="5236845" cy="4438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0342" r="651" b="6474"/>
                    <a:stretch>
                      <a:fillRect/>
                    </a:stretch>
                  </pic:blipFill>
                  <pic:spPr>
                    <a:xfrm>
                      <a:off x="0" y="0"/>
                      <a:ext cx="5236845" cy="4438650"/>
                    </a:xfrm>
                    <a:prstGeom prst="rect">
                      <a:avLst/>
                    </a:prstGeom>
                    <a:noFill/>
                    <a:ln>
                      <a:noFill/>
                    </a:ln>
                  </pic:spPr>
                </pic:pic>
              </a:graphicData>
            </a:graphic>
          </wp:inline>
        </w:drawing>
      </w:r>
    </w:p>
    <w:p>
      <w:pPr>
        <w:pStyle w:val="11"/>
        <w:numPr>
          <w:ilvl w:val="0"/>
          <w:numId w:val="1"/>
        </w:numPr>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收入总表》</w:t>
      </w:r>
    </w:p>
    <w:p>
      <w:pPr>
        <w:pStyle w:val="11"/>
        <w:numPr>
          <w:ilvl w:val="0"/>
          <w:numId w:val="0"/>
        </w:numPr>
        <w:spacing w:line="600" w:lineRule="atLeast"/>
        <w:jc w:val="left"/>
        <w:rPr>
          <w:rFonts w:ascii="Adobe 仿宋 Std R" w:hAnsi="Adobe 仿宋 Std R" w:eastAsia="Adobe 仿宋 Std R" w:cstheme="minorBidi"/>
          <w:kern w:val="2"/>
          <w:sz w:val="32"/>
          <w:szCs w:val="30"/>
        </w:rPr>
      </w:pPr>
      <w:r>
        <w:drawing>
          <wp:inline distT="0" distB="0" distL="114300" distR="114300">
            <wp:extent cx="5286375" cy="2791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rcRect t="16027" r="-289"/>
                    <a:stretch>
                      <a:fillRect/>
                    </a:stretch>
                  </pic:blipFill>
                  <pic:spPr>
                    <a:xfrm>
                      <a:off x="0" y="0"/>
                      <a:ext cx="5286375" cy="2791460"/>
                    </a:xfrm>
                    <a:prstGeom prst="rect">
                      <a:avLst/>
                    </a:prstGeom>
                    <a:noFill/>
                    <a:ln>
                      <a:noFill/>
                    </a:ln>
                  </pic:spPr>
                </pic:pic>
              </a:graphicData>
            </a:graphic>
          </wp:inline>
        </w:drawing>
      </w:r>
    </w:p>
    <w:p>
      <w:pPr>
        <w:pStyle w:val="11"/>
        <w:numPr>
          <w:ilvl w:val="0"/>
          <w:numId w:val="1"/>
        </w:numPr>
        <w:spacing w:line="600" w:lineRule="atLeast"/>
        <w:ind w:left="0" w:leftChars="0" w:firstLine="1280" w:firstLineChars="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支出总表》</w:t>
      </w:r>
      <w:r>
        <w:drawing>
          <wp:inline distT="0" distB="0" distL="114300" distR="114300">
            <wp:extent cx="5268595" cy="3159760"/>
            <wp:effectExtent l="0" t="0" r="825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8595" cy="3159760"/>
                    </a:xfrm>
                    <a:prstGeom prst="rect">
                      <a:avLst/>
                    </a:prstGeom>
                    <a:noFill/>
                    <a:ln>
                      <a:noFill/>
                    </a:ln>
                  </pic:spPr>
                </pic:pic>
              </a:graphicData>
            </a:graphic>
          </wp:inline>
        </w:drawing>
      </w:r>
    </w:p>
    <w:p>
      <w:pPr>
        <w:pStyle w:val="11"/>
        <w:numPr>
          <w:ilvl w:val="0"/>
          <w:numId w:val="0"/>
        </w:numPr>
        <w:spacing w:line="600" w:lineRule="atLeast"/>
        <w:ind w:left="1280" w:leftChars="0"/>
        <w:jc w:val="left"/>
        <w:rPr>
          <w:rFonts w:ascii="Adobe 仿宋 Std R" w:hAnsi="Adobe 仿宋 Std R" w:eastAsia="Adobe 仿宋 Std R" w:cstheme="minorBidi"/>
          <w:kern w:val="2"/>
          <w:sz w:val="32"/>
          <w:szCs w:val="30"/>
        </w:rPr>
      </w:pPr>
    </w:p>
    <w:p>
      <w:pPr>
        <w:pStyle w:val="11"/>
        <w:numPr>
          <w:ilvl w:val="0"/>
          <w:numId w:val="0"/>
        </w:numPr>
        <w:spacing w:line="600" w:lineRule="atLeast"/>
        <w:ind w:left="1280" w:leftChars="0"/>
        <w:jc w:val="left"/>
        <w:rPr>
          <w:rFonts w:ascii="Adobe 仿宋 Std R" w:hAnsi="Adobe 仿宋 Std R" w:eastAsia="Adobe 仿宋 Std R" w:cstheme="minorBidi"/>
          <w:kern w:val="2"/>
          <w:sz w:val="32"/>
          <w:szCs w:val="30"/>
        </w:rPr>
      </w:pPr>
    </w:p>
    <w:p>
      <w:pPr>
        <w:pStyle w:val="11"/>
        <w:numPr>
          <w:ilvl w:val="0"/>
          <w:numId w:val="1"/>
        </w:numPr>
        <w:spacing w:line="600" w:lineRule="atLeast"/>
        <w:ind w:left="0" w:leftChars="0" w:firstLine="1280" w:firstLineChars="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《财政拨款收支总表》</w:t>
      </w:r>
      <w:r>
        <w:drawing>
          <wp:inline distT="0" distB="0" distL="114300" distR="114300">
            <wp:extent cx="5267325" cy="4069080"/>
            <wp:effectExtent l="0" t="0" r="952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67325" cy="4069080"/>
                    </a:xfrm>
                    <a:prstGeom prst="rect">
                      <a:avLst/>
                    </a:prstGeom>
                    <a:noFill/>
                    <a:ln>
                      <a:noFill/>
                    </a:ln>
                  </pic:spPr>
                </pic:pic>
              </a:graphicData>
            </a:graphic>
          </wp:inline>
        </w:drawing>
      </w:r>
    </w:p>
    <w:p>
      <w:pPr>
        <w:pStyle w:val="11"/>
        <w:numPr>
          <w:ilvl w:val="0"/>
          <w:numId w:val="0"/>
        </w:numPr>
        <w:spacing w:line="600" w:lineRule="atLeast"/>
        <w:ind w:left="1280" w:leftChars="0"/>
        <w:jc w:val="left"/>
        <w:rPr>
          <w:rFonts w:ascii="Adobe 仿宋 Std R" w:hAnsi="Adobe 仿宋 Std R" w:eastAsia="Adobe 仿宋 Std R" w:cstheme="minorBidi"/>
          <w:kern w:val="2"/>
          <w:sz w:val="32"/>
          <w:szCs w:val="30"/>
        </w:rPr>
      </w:pP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r>
        <w:drawing>
          <wp:inline distT="0" distB="0" distL="114300" distR="114300">
            <wp:extent cx="5269865" cy="3151505"/>
            <wp:effectExtent l="0" t="0" r="6985"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69865" cy="3151505"/>
                    </a:xfrm>
                    <a:prstGeom prst="rect">
                      <a:avLst/>
                    </a:prstGeom>
                    <a:noFill/>
                    <a:ln>
                      <a:noFill/>
                    </a:ln>
                  </pic:spPr>
                </pic:pic>
              </a:graphicData>
            </a:graphic>
          </wp:inline>
        </w:drawing>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r>
        <w:drawing>
          <wp:inline distT="0" distB="0" distL="114300" distR="114300">
            <wp:extent cx="5268595" cy="3133725"/>
            <wp:effectExtent l="0" t="0" r="825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8595" cy="3133725"/>
                    </a:xfrm>
                    <a:prstGeom prst="rect">
                      <a:avLst/>
                    </a:prstGeom>
                    <a:noFill/>
                    <a:ln>
                      <a:noFill/>
                    </a:ln>
                  </pic:spPr>
                </pic:pic>
              </a:graphicData>
            </a:graphic>
          </wp:inline>
        </w:drawing>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r>
        <w:drawing>
          <wp:inline distT="0" distB="0" distL="114300" distR="114300">
            <wp:extent cx="5267325" cy="1088390"/>
            <wp:effectExtent l="0" t="0" r="9525" b="165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7325" cy="1088390"/>
                    </a:xfrm>
                    <a:prstGeom prst="rect">
                      <a:avLst/>
                    </a:prstGeom>
                    <a:noFill/>
                    <a:ln>
                      <a:noFill/>
                    </a:ln>
                  </pic:spPr>
                </pic:pic>
              </a:graphicData>
            </a:graphic>
          </wp:inline>
        </w:drawing>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r>
        <w:drawing>
          <wp:inline distT="0" distB="0" distL="114300" distR="114300">
            <wp:extent cx="5267325" cy="1158875"/>
            <wp:effectExtent l="0" t="0" r="952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67325" cy="1158875"/>
                    </a:xfrm>
                    <a:prstGeom prst="rect">
                      <a:avLst/>
                    </a:prstGeom>
                    <a:noFill/>
                    <a:ln>
                      <a:noFill/>
                    </a:ln>
                  </pic:spPr>
                </pic:pic>
              </a:graphicData>
            </a:graphic>
          </wp:inline>
        </w:drawing>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drawing>
          <wp:inline distT="0" distB="0" distL="114300" distR="114300">
            <wp:extent cx="5268595" cy="1031875"/>
            <wp:effectExtent l="0" t="0" r="8255" b="158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68595" cy="1031875"/>
                    </a:xfrm>
                    <a:prstGeom prst="rect">
                      <a:avLst/>
                    </a:prstGeom>
                    <a:noFill/>
                    <a:ln>
                      <a:noFill/>
                    </a:ln>
                  </pic:spPr>
                </pic:pic>
              </a:graphicData>
            </a:graphic>
          </wp:inline>
        </w:drawing>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r>
        <w:drawing>
          <wp:inline distT="0" distB="0" distL="114300" distR="114300">
            <wp:extent cx="5270500" cy="6022975"/>
            <wp:effectExtent l="0" t="0" r="6350"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0500" cy="6022975"/>
                    </a:xfrm>
                    <a:prstGeom prst="rect">
                      <a:avLst/>
                    </a:prstGeom>
                    <a:noFill/>
                    <a:ln>
                      <a:noFill/>
                    </a:ln>
                  </pic:spPr>
                </pic:pic>
              </a:graphicData>
            </a:graphic>
          </wp:inline>
        </w:drawing>
      </w: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widowControl/>
        <w:spacing w:line="580" w:lineRule="exact"/>
        <w:jc w:val="center"/>
        <w:rPr>
          <w:rFonts w:hint="eastAsia" w:ascii="仿宋_GB2312" w:hAnsi="Calibri" w:eastAsia="仿宋_GB2312" w:cs="宋体"/>
          <w:b/>
          <w:kern w:val="0"/>
          <w:sz w:val="32"/>
          <w:szCs w:val="32"/>
        </w:rPr>
      </w:pPr>
    </w:p>
    <w:p>
      <w:pPr>
        <w:widowControl/>
        <w:spacing w:line="580" w:lineRule="exact"/>
        <w:jc w:val="center"/>
        <w:rPr>
          <w:rFonts w:hint="eastAsia" w:ascii="仿宋_GB2312" w:hAnsi="Calibri" w:eastAsia="仿宋_GB2312" w:cs="宋体"/>
          <w:b/>
          <w:kern w:val="0"/>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ascii="仿宋_GB2312" w:eastAsia="仿宋_GB2312"/>
          <w:b/>
          <w:sz w:val="32"/>
          <w:szCs w:val="30"/>
        </w:rPr>
        <w:t>九江市</w:t>
      </w:r>
      <w:r>
        <w:rPr>
          <w:rFonts w:hint="eastAsia" w:ascii="仿宋_GB2312" w:eastAsia="仿宋_GB2312"/>
          <w:b/>
          <w:sz w:val="32"/>
          <w:szCs w:val="30"/>
          <w:lang w:eastAsia="zh-CN"/>
        </w:rPr>
        <w:t>工人文化宫</w:t>
      </w:r>
      <w:r>
        <w:fldChar w:fldCharType="end"/>
      </w:r>
      <w:r>
        <w:rPr>
          <w:rFonts w:hint="eastAsia" w:ascii="仿宋_GB2312" w:eastAsia="仿宋_GB2312"/>
          <w:b/>
          <w:sz w:val="32"/>
          <w:szCs w:val="30"/>
        </w:rPr>
        <w:t>2024年单位预算情况说明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一、2024年单位预算收支情况说明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(一)收入预算情况</w:t>
      </w:r>
    </w:p>
    <w:p>
      <w:pPr>
        <w:widowControl/>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202</w:t>
      </w:r>
      <w:r>
        <w:rPr>
          <w:rFonts w:ascii="仿宋" w:hAnsi="仿宋" w:eastAsia="仿宋" w:cs="Times New Roman"/>
          <w:kern w:val="0"/>
          <w:sz w:val="32"/>
          <w:szCs w:val="32"/>
        </w:rPr>
        <w:t>4</w:t>
      </w:r>
      <w:r>
        <w:rPr>
          <w:rFonts w:hint="eastAsia" w:ascii="仿宋" w:hAnsi="仿宋" w:eastAsia="仿宋" w:cs="Times New Roman"/>
          <w:kern w:val="0"/>
          <w:sz w:val="32"/>
          <w:szCs w:val="32"/>
        </w:rPr>
        <w:t>年九江市</w:t>
      </w:r>
      <w:r>
        <w:rPr>
          <w:rFonts w:hint="eastAsia" w:ascii="仿宋" w:hAnsi="仿宋" w:eastAsia="仿宋" w:cs="Times New Roman"/>
          <w:kern w:val="0"/>
          <w:sz w:val="32"/>
          <w:szCs w:val="32"/>
          <w:lang w:eastAsia="zh-CN"/>
        </w:rPr>
        <w:t>工人文化宫</w:t>
      </w:r>
      <w:r>
        <w:rPr>
          <w:rFonts w:hint="eastAsia"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1736</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1566.3</w:t>
      </w:r>
      <w:r>
        <w:rPr>
          <w:rFonts w:hint="eastAsia" w:ascii="仿宋" w:hAnsi="仿宋" w:eastAsia="仿宋" w:cs="Times New Roman"/>
          <w:kern w:val="0"/>
          <w:sz w:val="32"/>
          <w:szCs w:val="32"/>
        </w:rPr>
        <w:t>万元;财政拨款收入</w:t>
      </w:r>
      <w:r>
        <w:rPr>
          <w:rFonts w:hint="eastAsia" w:ascii="仿宋" w:hAnsi="仿宋" w:eastAsia="仿宋" w:cs="Times New Roman"/>
          <w:kern w:val="0"/>
          <w:sz w:val="32"/>
          <w:szCs w:val="32"/>
          <w:lang w:val="en-US" w:eastAsia="zh-CN"/>
        </w:rPr>
        <w:t>208.73</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39.03</w:t>
      </w:r>
      <w:r>
        <w:rPr>
          <w:rFonts w:hint="eastAsia" w:ascii="仿宋" w:hAnsi="仿宋" w:eastAsia="仿宋" w:cs="Times New Roman"/>
          <w:kern w:val="0"/>
          <w:sz w:val="32"/>
          <w:szCs w:val="32"/>
        </w:rPr>
        <w:t>万元;教育收费资金收入</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w:t>
      </w:r>
      <w:r>
        <w:rPr>
          <w:rFonts w:hint="eastAsia" w:ascii="仿宋" w:hAnsi="仿宋" w:eastAsia="仿宋" w:cs="Times New Roman"/>
          <w:kern w:val="0"/>
          <w:sz w:val="32"/>
          <w:szCs w:val="32"/>
          <w:lang w:val="en-US" w:eastAsia="zh-CN"/>
        </w:rPr>
        <w:t>其他收入1527.27万元，较上年预算安排增加1527.27万元；</w:t>
      </w:r>
      <w:r>
        <w:rPr>
          <w:rFonts w:hint="eastAsia" w:ascii="仿宋" w:hAnsi="仿宋" w:eastAsia="仿宋" w:cs="Times New Roman"/>
          <w:kern w:val="0"/>
          <w:sz w:val="32"/>
          <w:szCs w:val="32"/>
        </w:rPr>
        <w:t>事业单位经营收入</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万元;国库集中支付网上结转</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2024年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Style w:val="10"/>
          <w:rFonts w:ascii="仿宋" w:hAnsi="仿宋" w:eastAsia="仿宋"/>
          <w:sz w:val="32"/>
          <w:szCs w:val="32"/>
        </w:rPr>
        <w:fldChar w:fldCharType="separate"/>
      </w:r>
      <w:r>
        <w:rPr>
          <w:rStyle w:val="10"/>
          <w:rFonts w:ascii="仿宋" w:hAnsi="仿宋" w:eastAsia="仿宋"/>
          <w:sz w:val="32"/>
          <w:szCs w:val="32"/>
        </w:rPr>
        <w:t>九江市</w:t>
      </w:r>
      <w:r>
        <w:rPr>
          <w:rStyle w:val="10"/>
          <w:rFonts w:hint="eastAsia" w:ascii="仿宋" w:hAnsi="仿宋" w:eastAsia="仿宋"/>
          <w:sz w:val="32"/>
          <w:szCs w:val="32"/>
          <w:lang w:eastAsia="zh-CN"/>
        </w:rPr>
        <w:t>工人文化宫</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lang w:val="en-US" w:eastAsia="zh-CN"/>
        </w:rPr>
        <w:t>1736</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1566.3</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10"/>
          <w:rFonts w:ascii="仿宋" w:hAnsi="仿宋" w:eastAsia="仿宋"/>
          <w:sz w:val="32"/>
          <w:szCs w:val="32"/>
        </w:rPr>
        <w:t>基本支出</w:t>
      </w:r>
      <w:r>
        <w:rPr>
          <w:rFonts w:hint="eastAsia" w:ascii="仿宋" w:hAnsi="仿宋" w:eastAsia="仿宋" w:cs="Times New Roman"/>
          <w:kern w:val="0"/>
          <w:sz w:val="32"/>
          <w:szCs w:val="32"/>
          <w:lang w:val="en-US" w:eastAsia="zh-CN"/>
        </w:rPr>
        <w:t>1699</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1566.30</w:t>
      </w:r>
      <w:r>
        <w:rPr>
          <w:rStyle w:val="10"/>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679.67</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938.05</w:t>
      </w:r>
      <w:r>
        <w:rPr>
          <w:rStyle w:val="10"/>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2.28</w:t>
      </w:r>
      <w:r>
        <w:rPr>
          <w:rStyle w:val="10"/>
          <w:rFonts w:ascii="仿宋" w:hAnsi="仿宋" w:eastAsia="仿宋"/>
          <w:sz w:val="32"/>
          <w:szCs w:val="32"/>
        </w:rPr>
        <w:t>万元,资本性支出</w:t>
      </w:r>
      <w:r>
        <w:rPr>
          <w:rFonts w:hint="eastAsia" w:ascii="仿宋" w:hAnsi="仿宋" w:eastAsia="仿宋" w:cs="Times New Roman"/>
          <w:kern w:val="0"/>
          <w:sz w:val="32"/>
          <w:szCs w:val="32"/>
          <w:lang w:val="en-US" w:eastAsia="zh-CN"/>
        </w:rPr>
        <w:t>79</w:t>
      </w:r>
      <w:r>
        <w:rPr>
          <w:rStyle w:val="10"/>
          <w:rFonts w:ascii="仿宋" w:hAnsi="仿宋" w:eastAsia="仿宋"/>
          <w:sz w:val="32"/>
          <w:szCs w:val="32"/>
        </w:rPr>
        <w:t>万元。</w:t>
      </w:r>
      <w:r>
        <w:fldChar w:fldCharType="end"/>
      </w:r>
      <w:r>
        <w:rPr>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10"/>
          <w:rFonts w:ascii="仿宋" w:hAnsi="仿宋" w:eastAsia="仿宋"/>
          <w:sz w:val="32"/>
          <w:szCs w:val="32"/>
        </w:rPr>
        <w:t>项目支出</w:t>
      </w:r>
      <w:r>
        <w:rPr>
          <w:rFonts w:hint="eastAsia" w:ascii="仿宋" w:hAnsi="仿宋" w:eastAsia="仿宋" w:cs="Times New Roman"/>
          <w:kern w:val="0"/>
          <w:sz w:val="32"/>
          <w:szCs w:val="32"/>
          <w:lang w:val="en-US" w:eastAsia="zh-CN"/>
        </w:rPr>
        <w:t>37</w:t>
      </w:r>
      <w:r>
        <w:rPr>
          <w:rStyle w:val="10"/>
          <w:rFonts w:ascii="仿宋" w:hAnsi="仿宋" w:eastAsia="仿宋"/>
          <w:sz w:val="32"/>
          <w:szCs w:val="32"/>
        </w:rPr>
        <w:t>万元,较上年预算安排</w:t>
      </w:r>
      <w:r>
        <w:rPr>
          <w:rStyle w:val="10"/>
          <w:rFonts w:hint="eastAsia" w:ascii="仿宋" w:hAnsi="仿宋" w:eastAsia="仿宋"/>
          <w:sz w:val="32"/>
          <w:szCs w:val="32"/>
          <w:lang w:val="en-US" w:eastAsia="zh-CN"/>
        </w:rPr>
        <w:t>一致</w:t>
      </w:r>
      <w:r>
        <w:rPr>
          <w:rStyle w:val="10"/>
          <w:rFonts w:ascii="仿宋" w:hAnsi="仿宋" w:eastAsia="仿宋"/>
          <w:sz w:val="32"/>
          <w:szCs w:val="32"/>
        </w:rPr>
        <w:t>;其中：工资福利支出</w:t>
      </w:r>
      <w:r>
        <w:rPr>
          <w:rFonts w:hint="eastAsia" w:ascii="仿宋" w:hAnsi="仿宋" w:eastAsia="仿宋" w:cs="Times New Roman"/>
          <w:kern w:val="0"/>
          <w:sz w:val="32"/>
          <w:szCs w:val="32"/>
          <w:lang w:val="en-US" w:eastAsia="zh-CN"/>
        </w:rPr>
        <w:t>0</w:t>
      </w:r>
      <w:r>
        <w:rPr>
          <w:rStyle w:val="10"/>
          <w:rFonts w:ascii="仿宋" w:hAnsi="仿宋" w:eastAsia="仿宋"/>
          <w:sz w:val="32"/>
          <w:szCs w:val="32"/>
        </w:rPr>
        <w:t>万元,商品和服务支出</w:t>
      </w:r>
      <w:r>
        <w:rPr>
          <w:rFonts w:hint="eastAsia" w:ascii="仿宋" w:hAnsi="仿宋" w:eastAsia="仿宋" w:cs="Times New Roman"/>
          <w:kern w:val="0"/>
          <w:sz w:val="32"/>
          <w:szCs w:val="32"/>
          <w:lang w:val="en-US" w:eastAsia="zh-CN"/>
        </w:rPr>
        <w:t>37</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0</w:t>
      </w:r>
      <w:r>
        <w:rPr>
          <w:rStyle w:val="10"/>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10"/>
          <w:rFonts w:ascii="仿宋" w:hAnsi="仿宋" w:eastAsia="仿宋"/>
          <w:sz w:val="32"/>
          <w:szCs w:val="32"/>
        </w:rPr>
        <w:t>万元,对企业补助</w:t>
      </w:r>
      <w:r>
        <w:rPr>
          <w:rFonts w:hint="eastAsia" w:ascii="仿宋" w:hAnsi="仿宋" w:eastAsia="仿宋" w:cs="Times New Roman"/>
          <w:kern w:val="0"/>
          <w:sz w:val="32"/>
          <w:szCs w:val="32"/>
          <w:lang w:val="en-US" w:eastAsia="zh-CN"/>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按支出功能科目划分：一般公共服务支出</w:t>
      </w:r>
      <w:r>
        <w:rPr>
          <w:rStyle w:val="10"/>
          <w:rFonts w:hint="eastAsia" w:ascii="仿宋" w:hAnsi="仿宋" w:eastAsia="仿宋"/>
          <w:sz w:val="32"/>
          <w:szCs w:val="32"/>
          <w:lang w:val="en-US" w:eastAsia="zh-CN"/>
        </w:rPr>
        <w:t>1644.77</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1537.92</w:t>
      </w:r>
      <w:r>
        <w:rPr>
          <w:rStyle w:val="10"/>
          <w:rFonts w:hint="eastAsia" w:ascii="仿宋" w:hAnsi="仿宋" w:eastAsia="仿宋"/>
          <w:sz w:val="32"/>
          <w:szCs w:val="32"/>
        </w:rPr>
        <w:t>万元;教育支出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万元;科学技术支出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万元;社会保障和就业支出</w:t>
      </w:r>
      <w:r>
        <w:rPr>
          <w:rStyle w:val="10"/>
          <w:rFonts w:hint="eastAsia" w:ascii="仿宋" w:hAnsi="仿宋" w:eastAsia="仿宋"/>
          <w:sz w:val="32"/>
          <w:szCs w:val="32"/>
          <w:lang w:val="en-US" w:eastAsia="zh-CN"/>
        </w:rPr>
        <w:t>50.03</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15.86</w:t>
      </w:r>
      <w:r>
        <w:rPr>
          <w:rStyle w:val="10"/>
          <w:rFonts w:hint="eastAsia" w:ascii="仿宋" w:hAnsi="仿宋" w:eastAsia="仿宋"/>
          <w:sz w:val="32"/>
          <w:szCs w:val="32"/>
        </w:rPr>
        <w:t>万元;卫生健康支出</w:t>
      </w:r>
      <w:r>
        <w:rPr>
          <w:rStyle w:val="10"/>
          <w:rFonts w:hint="eastAsia" w:ascii="仿宋" w:hAnsi="仿宋" w:eastAsia="仿宋"/>
          <w:sz w:val="32"/>
          <w:szCs w:val="32"/>
          <w:lang w:val="en-US" w:eastAsia="zh-CN"/>
        </w:rPr>
        <w:t>10.01</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1.03</w:t>
      </w:r>
      <w:r>
        <w:rPr>
          <w:rStyle w:val="10"/>
          <w:rFonts w:hint="eastAsia" w:ascii="仿宋" w:hAnsi="仿宋" w:eastAsia="仿宋"/>
          <w:sz w:val="32"/>
          <w:szCs w:val="32"/>
        </w:rPr>
        <w:t>万元;农林水支出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万元;住房保障支出</w:t>
      </w:r>
      <w:r>
        <w:rPr>
          <w:rStyle w:val="10"/>
          <w:rFonts w:hint="eastAsia" w:ascii="仿宋" w:hAnsi="仿宋" w:eastAsia="仿宋"/>
          <w:sz w:val="32"/>
          <w:szCs w:val="32"/>
          <w:lang w:val="en-US" w:eastAsia="zh-CN"/>
        </w:rPr>
        <w:t>31.19</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11.49</w:t>
      </w:r>
      <w:r>
        <w:rPr>
          <w:rStyle w:val="10"/>
          <w:rFonts w:hint="eastAsia" w:ascii="仿宋" w:hAnsi="仿宋" w:eastAsia="仿宋"/>
          <w:sz w:val="32"/>
          <w:szCs w:val="32"/>
        </w:rPr>
        <w:t>万元。</w:t>
      </w:r>
    </w:p>
    <w:p>
      <w:pPr>
        <w:ind w:firstLine="640" w:firstLineChars="200"/>
        <w:rPr>
          <w:rStyle w:val="10"/>
          <w:rFonts w:ascii="仿宋" w:hAnsi="仿宋" w:eastAsia="仿宋"/>
          <w:b/>
          <w:sz w:val="20"/>
          <w:szCs w:val="32"/>
        </w:rPr>
      </w:pPr>
      <w:r>
        <w:rPr>
          <w:rStyle w:val="10"/>
          <w:rFonts w:hint="eastAsia" w:ascii="仿宋" w:hAnsi="仿宋" w:eastAsia="仿宋"/>
          <w:sz w:val="32"/>
          <w:szCs w:val="32"/>
        </w:rPr>
        <w:t>按支出经济分类划分：工资福利支出</w:t>
      </w:r>
      <w:r>
        <w:rPr>
          <w:rStyle w:val="10"/>
          <w:rFonts w:hint="eastAsia" w:ascii="仿宋" w:hAnsi="仿宋" w:eastAsia="仿宋"/>
          <w:sz w:val="32"/>
          <w:szCs w:val="32"/>
          <w:lang w:val="en-US" w:eastAsia="zh-CN"/>
        </w:rPr>
        <w:t>679.67</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556.87</w:t>
      </w:r>
      <w:r>
        <w:rPr>
          <w:rStyle w:val="10"/>
          <w:rFonts w:hint="eastAsia" w:ascii="仿宋" w:hAnsi="仿宋" w:eastAsia="仿宋"/>
          <w:sz w:val="32"/>
          <w:szCs w:val="32"/>
        </w:rPr>
        <w:t>万元;商品和服务支出</w:t>
      </w:r>
      <w:r>
        <w:rPr>
          <w:rStyle w:val="10"/>
          <w:rFonts w:hint="eastAsia" w:ascii="仿宋" w:hAnsi="仿宋" w:eastAsia="仿宋"/>
          <w:sz w:val="32"/>
          <w:szCs w:val="32"/>
          <w:lang w:val="en-US" w:eastAsia="zh-CN"/>
        </w:rPr>
        <w:t>975.05</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967.07</w:t>
      </w:r>
      <w:r>
        <w:rPr>
          <w:rStyle w:val="10"/>
          <w:rFonts w:hint="eastAsia" w:ascii="仿宋" w:hAnsi="仿宋" w:eastAsia="仿宋"/>
          <w:sz w:val="32"/>
          <w:szCs w:val="32"/>
        </w:rPr>
        <w:t>万元;对个人和家庭的补助</w:t>
      </w:r>
      <w:r>
        <w:rPr>
          <w:rStyle w:val="10"/>
          <w:rFonts w:hint="eastAsia" w:ascii="仿宋" w:hAnsi="仿宋" w:eastAsia="仿宋"/>
          <w:sz w:val="32"/>
          <w:szCs w:val="32"/>
          <w:lang w:val="en-US" w:eastAsia="zh-CN"/>
        </w:rPr>
        <w:t>2.28</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0.36</w:t>
      </w:r>
      <w:r>
        <w:rPr>
          <w:rStyle w:val="10"/>
          <w:rFonts w:hint="eastAsia" w:ascii="仿宋" w:hAnsi="仿宋" w:eastAsia="仿宋"/>
          <w:sz w:val="32"/>
          <w:szCs w:val="32"/>
        </w:rPr>
        <w:t>万元;资本性支出</w:t>
      </w:r>
      <w:r>
        <w:rPr>
          <w:rStyle w:val="10"/>
          <w:rFonts w:hint="eastAsia" w:ascii="仿宋" w:hAnsi="仿宋" w:eastAsia="仿宋"/>
          <w:sz w:val="32"/>
          <w:szCs w:val="32"/>
          <w:lang w:val="en-US" w:eastAsia="zh-CN"/>
        </w:rPr>
        <w:t>79</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79</w:t>
      </w:r>
      <w:r>
        <w:rPr>
          <w:rStyle w:val="10"/>
          <w:rFonts w:hint="eastAsia" w:ascii="仿宋" w:hAnsi="仿宋" w:eastAsia="仿宋"/>
          <w:sz w:val="32"/>
          <w:szCs w:val="32"/>
        </w:rPr>
        <w:t>万元;对企业补助</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2024年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Style w:val="10"/>
          <w:rFonts w:ascii="仿宋" w:hAnsi="仿宋" w:eastAsia="仿宋"/>
          <w:sz w:val="32"/>
          <w:szCs w:val="32"/>
        </w:rPr>
        <w:fldChar w:fldCharType="separate"/>
      </w:r>
      <w:r>
        <w:rPr>
          <w:rStyle w:val="10"/>
          <w:rFonts w:ascii="仿宋" w:hAnsi="仿宋" w:eastAsia="仿宋"/>
          <w:sz w:val="32"/>
          <w:szCs w:val="32"/>
        </w:rPr>
        <w:t>九江市</w:t>
      </w:r>
      <w:r>
        <w:rPr>
          <w:rStyle w:val="10"/>
          <w:rFonts w:hint="eastAsia" w:ascii="仿宋" w:hAnsi="仿宋" w:eastAsia="仿宋"/>
          <w:sz w:val="32"/>
          <w:szCs w:val="32"/>
          <w:lang w:eastAsia="zh-CN"/>
        </w:rPr>
        <w:t>工人文化宫</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208.73</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39.03</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按支出功能科目划分：一般公共服务支出</w:t>
      </w:r>
      <w:r>
        <w:rPr>
          <w:rStyle w:val="10"/>
          <w:rFonts w:hint="eastAsia" w:ascii="仿宋" w:hAnsi="仿宋" w:eastAsia="仿宋"/>
          <w:sz w:val="32"/>
          <w:szCs w:val="32"/>
          <w:lang w:val="en-US" w:eastAsia="zh-CN"/>
        </w:rPr>
        <w:t>117.50</w:t>
      </w:r>
      <w:r>
        <w:rPr>
          <w:rStyle w:val="10"/>
          <w:rFonts w:hint="eastAsia" w:ascii="仿宋" w:hAnsi="仿宋" w:eastAsia="仿宋"/>
          <w:sz w:val="32"/>
          <w:szCs w:val="32"/>
        </w:rPr>
        <w:t>万元,教育支出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万元,社会保障和就业支出</w:t>
      </w:r>
      <w:r>
        <w:rPr>
          <w:rStyle w:val="10"/>
          <w:rFonts w:hint="eastAsia" w:ascii="仿宋" w:hAnsi="仿宋" w:eastAsia="仿宋"/>
          <w:sz w:val="32"/>
          <w:szCs w:val="32"/>
          <w:lang w:val="en-US" w:eastAsia="zh-CN"/>
        </w:rPr>
        <w:t>50.03</w:t>
      </w:r>
      <w:r>
        <w:rPr>
          <w:rStyle w:val="10"/>
          <w:rFonts w:hint="eastAsia" w:ascii="仿宋" w:hAnsi="仿宋" w:eastAsia="仿宋"/>
          <w:sz w:val="32"/>
          <w:szCs w:val="32"/>
        </w:rPr>
        <w:t>万元,卫生健康支出</w:t>
      </w:r>
      <w:r>
        <w:rPr>
          <w:rStyle w:val="10"/>
          <w:rFonts w:hint="eastAsia" w:ascii="仿宋" w:hAnsi="仿宋" w:eastAsia="仿宋"/>
          <w:sz w:val="32"/>
          <w:szCs w:val="32"/>
          <w:lang w:val="en-US" w:eastAsia="zh-CN"/>
        </w:rPr>
        <w:t>10.01</w:t>
      </w:r>
      <w:r>
        <w:rPr>
          <w:rStyle w:val="10"/>
          <w:rFonts w:hint="eastAsia" w:ascii="仿宋" w:hAnsi="仿宋" w:eastAsia="仿宋"/>
          <w:sz w:val="32"/>
          <w:szCs w:val="32"/>
        </w:rPr>
        <w:t>万元,住房保障支出</w:t>
      </w:r>
      <w:r>
        <w:rPr>
          <w:rStyle w:val="10"/>
          <w:rFonts w:hint="eastAsia" w:ascii="仿宋" w:hAnsi="仿宋" w:eastAsia="仿宋"/>
          <w:sz w:val="32"/>
          <w:szCs w:val="32"/>
          <w:lang w:val="en-US" w:eastAsia="zh-CN"/>
        </w:rPr>
        <w:t>31.19</w:t>
      </w:r>
      <w:r>
        <w:rPr>
          <w:rStyle w:val="10"/>
          <w:rFonts w:hint="eastAsia" w:ascii="仿宋" w:hAnsi="仿宋" w:eastAsia="仿宋"/>
          <w:sz w:val="32"/>
          <w:szCs w:val="32"/>
        </w:rPr>
        <w:t>万元。</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按支出项目类别划分：基本支出</w:t>
      </w:r>
      <w:r>
        <w:rPr>
          <w:rStyle w:val="10"/>
          <w:rFonts w:hint="eastAsia" w:ascii="仿宋" w:hAnsi="仿宋" w:eastAsia="仿宋"/>
          <w:sz w:val="32"/>
          <w:szCs w:val="32"/>
          <w:lang w:val="en-US" w:eastAsia="zh-CN"/>
        </w:rPr>
        <w:t>171.73</w:t>
      </w:r>
      <w:r>
        <w:rPr>
          <w:rStyle w:val="10"/>
          <w:rFonts w:hint="eastAsia" w:ascii="仿宋" w:hAnsi="仿宋" w:eastAsia="仿宋"/>
          <w:sz w:val="32"/>
          <w:szCs w:val="32"/>
        </w:rPr>
        <w:t>万元,较上年预算安排增加</w:t>
      </w:r>
      <w:r>
        <w:rPr>
          <w:rStyle w:val="10"/>
          <w:rFonts w:hint="eastAsia" w:ascii="仿宋" w:hAnsi="仿宋" w:eastAsia="仿宋"/>
          <w:sz w:val="32"/>
          <w:szCs w:val="32"/>
          <w:lang w:val="en-US" w:eastAsia="zh-CN"/>
        </w:rPr>
        <w:t>39.03</w:t>
      </w:r>
      <w:r>
        <w:rPr>
          <w:rStyle w:val="10"/>
          <w:rFonts w:hint="eastAsia" w:ascii="仿宋" w:hAnsi="仿宋" w:eastAsia="仿宋"/>
          <w:sz w:val="32"/>
          <w:szCs w:val="32"/>
        </w:rPr>
        <w:t>万元;其中：工资福利支出</w:t>
      </w:r>
      <w:r>
        <w:rPr>
          <w:rStyle w:val="10"/>
          <w:rFonts w:hint="eastAsia" w:ascii="仿宋" w:hAnsi="仿宋" w:eastAsia="仿宋"/>
          <w:sz w:val="32"/>
          <w:szCs w:val="32"/>
          <w:lang w:val="en-US" w:eastAsia="zh-CN"/>
        </w:rPr>
        <w:t>160.96</w:t>
      </w:r>
      <w:r>
        <w:rPr>
          <w:rStyle w:val="10"/>
          <w:rFonts w:hint="eastAsia" w:ascii="仿宋" w:hAnsi="仿宋" w:eastAsia="仿宋"/>
          <w:sz w:val="32"/>
          <w:szCs w:val="32"/>
        </w:rPr>
        <w:t>万元,商品和服务支出</w:t>
      </w:r>
      <w:r>
        <w:rPr>
          <w:rStyle w:val="10"/>
          <w:rFonts w:hint="eastAsia" w:ascii="仿宋" w:hAnsi="仿宋" w:eastAsia="仿宋"/>
          <w:sz w:val="32"/>
          <w:szCs w:val="32"/>
          <w:lang w:val="en-US" w:eastAsia="zh-CN"/>
        </w:rPr>
        <w:t>8.49</w:t>
      </w:r>
      <w:r>
        <w:rPr>
          <w:rStyle w:val="10"/>
          <w:rFonts w:hint="eastAsia" w:ascii="仿宋" w:hAnsi="仿宋" w:eastAsia="仿宋"/>
          <w:sz w:val="32"/>
          <w:szCs w:val="32"/>
        </w:rPr>
        <w:t>万元,对个人和家庭的补助</w:t>
      </w:r>
      <w:r>
        <w:rPr>
          <w:rStyle w:val="10"/>
          <w:rFonts w:hint="eastAsia" w:ascii="仿宋" w:hAnsi="仿宋" w:eastAsia="仿宋"/>
          <w:sz w:val="32"/>
          <w:szCs w:val="32"/>
          <w:lang w:val="en-US" w:eastAsia="zh-CN"/>
        </w:rPr>
        <w:t>2.28</w:t>
      </w:r>
      <w:r>
        <w:rPr>
          <w:rStyle w:val="10"/>
          <w:rFonts w:hint="eastAsia" w:ascii="仿宋" w:hAnsi="仿宋" w:eastAsia="仿宋"/>
          <w:sz w:val="32"/>
          <w:szCs w:val="32"/>
        </w:rPr>
        <w:t>万元,资本性支出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万元。项目支出</w:t>
      </w:r>
      <w:r>
        <w:rPr>
          <w:rStyle w:val="10"/>
          <w:rFonts w:hint="eastAsia" w:ascii="仿宋" w:hAnsi="仿宋" w:eastAsia="仿宋"/>
          <w:sz w:val="32"/>
          <w:szCs w:val="32"/>
          <w:lang w:val="en-US" w:eastAsia="zh-CN"/>
        </w:rPr>
        <w:t>37</w:t>
      </w:r>
      <w:r>
        <w:rPr>
          <w:rStyle w:val="10"/>
          <w:rFonts w:hint="eastAsia" w:ascii="仿宋" w:hAnsi="仿宋" w:eastAsia="仿宋"/>
          <w:sz w:val="32"/>
          <w:szCs w:val="32"/>
        </w:rPr>
        <w:t>万元,较上年预算安排</w:t>
      </w:r>
      <w:r>
        <w:rPr>
          <w:rStyle w:val="10"/>
          <w:rFonts w:hint="eastAsia" w:ascii="仿宋" w:hAnsi="仿宋" w:eastAsia="仿宋"/>
          <w:sz w:val="32"/>
          <w:szCs w:val="32"/>
          <w:lang w:val="en-US" w:eastAsia="zh-CN"/>
        </w:rPr>
        <w:t>一致</w:t>
      </w:r>
      <w:r>
        <w:rPr>
          <w:rStyle w:val="10"/>
          <w:rFonts w:hint="eastAsia" w:ascii="仿宋" w:hAnsi="仿宋" w:eastAsia="仿宋"/>
          <w:sz w:val="32"/>
          <w:szCs w:val="32"/>
        </w:rPr>
        <w:t>;其中：商品和服务支出</w:t>
      </w:r>
      <w:r>
        <w:rPr>
          <w:rStyle w:val="10"/>
          <w:rFonts w:hint="eastAsia" w:ascii="仿宋" w:hAnsi="仿宋" w:eastAsia="仿宋"/>
          <w:sz w:val="32"/>
          <w:szCs w:val="32"/>
          <w:lang w:val="en-US" w:eastAsia="zh-CN"/>
        </w:rPr>
        <w:t>37</w:t>
      </w:r>
      <w:r>
        <w:rPr>
          <w:rStyle w:val="10"/>
          <w:rFonts w:hint="eastAsia" w:ascii="仿宋" w:hAnsi="仿宋" w:eastAsia="仿宋"/>
          <w:sz w:val="32"/>
          <w:szCs w:val="32"/>
        </w:rPr>
        <w:t>万元,对个人和家庭的补助</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万元,资本性支出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2024年本单位没有使用政府性基金预算拨款安排的支出</w:t>
      </w:r>
      <w:r>
        <w:rPr>
          <w:rStyle w:val="10"/>
          <w:rFonts w:hint="eastAsia" w:ascii="仿宋" w:hAnsi="仿宋" w:eastAsia="仿宋"/>
          <w:sz w:val="32"/>
          <w:szCs w:val="32"/>
          <w:lang w:eastAsia="zh-CN"/>
        </w:rPr>
        <w:t>。</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2024年本单位没有使用国有资本经营预算拨款安排的支出</w:t>
      </w:r>
      <w:r>
        <w:rPr>
          <w:rStyle w:val="10"/>
          <w:rFonts w:hint="eastAsia" w:ascii="仿宋" w:hAnsi="仿宋" w:eastAsia="仿宋"/>
          <w:sz w:val="32"/>
          <w:szCs w:val="32"/>
          <w:lang w:eastAsia="zh-CN"/>
        </w:rPr>
        <w:t>。</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(六)机关运行经费等重要事项的说明</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本单位非行政参公单位，无机关运行经费</w:t>
      </w:r>
      <w:r>
        <w:rPr>
          <w:rStyle w:val="10"/>
          <w:rFonts w:hint="eastAsia" w:ascii="仿宋" w:hAnsi="仿宋" w:eastAsia="仿宋"/>
          <w:sz w:val="32"/>
          <w:szCs w:val="32"/>
          <w:lang w:eastAsia="zh-CN"/>
        </w:rPr>
        <w:t>。</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widowControl/>
        <w:spacing w:line="580" w:lineRule="exact"/>
        <w:ind w:firstLine="636"/>
        <w:jc w:val="left"/>
        <w:rPr>
          <w:rFonts w:ascii="Adobe 仿宋 Std R" w:hAnsi="Adobe 仿宋 Std R" w:eastAsia="Adobe 仿宋 Std R"/>
          <w:sz w:val="32"/>
          <w:szCs w:val="32"/>
        </w:rPr>
      </w:pPr>
      <w:r>
        <w:rPr>
          <w:rFonts w:hint="eastAsia" w:ascii="仿宋" w:hAnsi="仿宋" w:eastAsia="仿宋"/>
          <w:sz w:val="32"/>
          <w:szCs w:val="32"/>
        </w:rPr>
        <w:t>2024年</w:t>
      </w:r>
      <w:r>
        <w:rPr>
          <w:rStyle w:val="10"/>
          <w:rFonts w:hint="eastAsia" w:ascii="仿宋" w:hAnsi="仿宋" w:eastAsia="仿宋"/>
          <w:sz w:val="32"/>
          <w:szCs w:val="32"/>
        </w:rPr>
        <w:t>政府采购总额</w:t>
      </w:r>
      <w:r>
        <w:rPr>
          <w:rStyle w:val="10"/>
          <w:rFonts w:hint="eastAsia" w:ascii="仿宋" w:hAnsi="仿宋" w:eastAsia="仿宋"/>
          <w:sz w:val="32"/>
          <w:szCs w:val="32"/>
          <w:lang w:val="en-US" w:eastAsia="zh-CN"/>
        </w:rPr>
        <w:t>2</w:t>
      </w:r>
      <w:r>
        <w:rPr>
          <w:rStyle w:val="10"/>
          <w:rFonts w:hint="eastAsia" w:ascii="仿宋" w:hAnsi="仿宋" w:eastAsia="仿宋"/>
          <w:sz w:val="32"/>
          <w:szCs w:val="32"/>
        </w:rPr>
        <w:t>万元</w:t>
      </w:r>
      <w:r>
        <w:rPr>
          <w:rStyle w:val="10"/>
          <w:rFonts w:ascii="仿宋" w:hAnsi="仿宋" w:eastAsia="仿宋"/>
          <w:sz w:val="32"/>
          <w:szCs w:val="32"/>
        </w:rPr>
        <w:t>,</w:t>
      </w:r>
      <w:r>
        <w:rPr>
          <w:rStyle w:val="10"/>
          <w:rFonts w:hint="eastAsia" w:ascii="仿宋" w:hAnsi="仿宋" w:eastAsia="仿宋"/>
          <w:sz w:val="32"/>
          <w:szCs w:val="32"/>
        </w:rPr>
        <w:t>其中</w:t>
      </w:r>
      <w:r>
        <w:rPr>
          <w:rStyle w:val="10"/>
          <w:rFonts w:ascii="仿宋" w:hAnsi="仿宋" w:eastAsia="仿宋"/>
          <w:sz w:val="32"/>
          <w:szCs w:val="32"/>
        </w:rPr>
        <w:t>:</w:t>
      </w:r>
      <w:r>
        <w:rPr>
          <w:rStyle w:val="10"/>
          <w:rFonts w:hint="eastAsia" w:ascii="仿宋" w:hAnsi="仿宋" w:eastAsia="仿宋"/>
          <w:sz w:val="32"/>
          <w:szCs w:val="32"/>
        </w:rPr>
        <w:t xml:space="preserve"> 政府采购货物预算</w:t>
      </w:r>
      <w:r>
        <w:rPr>
          <w:rStyle w:val="10"/>
          <w:rFonts w:hint="eastAsia" w:ascii="仿宋" w:hAnsi="仿宋" w:eastAsia="仿宋"/>
          <w:sz w:val="32"/>
          <w:szCs w:val="32"/>
          <w:lang w:val="en-US" w:eastAsia="zh-CN"/>
        </w:rPr>
        <w:t>2</w:t>
      </w:r>
      <w:r>
        <w:rPr>
          <w:rStyle w:val="10"/>
          <w:rFonts w:hint="eastAsia" w:ascii="仿宋" w:hAnsi="仿宋" w:eastAsia="仿宋"/>
          <w:sz w:val="32"/>
          <w:szCs w:val="32"/>
        </w:rPr>
        <w:t>万元</w:t>
      </w:r>
      <w:r>
        <w:rPr>
          <w:rStyle w:val="10"/>
          <w:rFonts w:ascii="仿宋" w:hAnsi="仿宋" w:eastAsia="仿宋"/>
          <w:sz w:val="32"/>
          <w:szCs w:val="32"/>
        </w:rPr>
        <w:t>,</w:t>
      </w:r>
      <w:r>
        <w:rPr>
          <w:rStyle w:val="10"/>
          <w:rFonts w:hint="eastAsia" w:ascii="仿宋" w:hAnsi="仿宋" w:eastAsia="仿宋"/>
          <w:sz w:val="32"/>
          <w:szCs w:val="32"/>
        </w:rPr>
        <w:t xml:space="preserve"> 政府采购工程预算</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r>
        <w:rPr>
          <w:rStyle w:val="10"/>
          <w:rFonts w:ascii="仿宋" w:hAnsi="仿宋" w:eastAsia="仿宋"/>
          <w:sz w:val="32"/>
          <w:szCs w:val="32"/>
        </w:rPr>
        <w:t>,</w:t>
      </w:r>
      <w:r>
        <w:rPr>
          <w:rStyle w:val="10"/>
          <w:rFonts w:hint="eastAsia" w:ascii="仿宋" w:hAnsi="仿宋" w:eastAsia="仿宋"/>
          <w:sz w:val="32"/>
          <w:szCs w:val="32"/>
        </w:rPr>
        <w:t xml:space="preserve"> 政府采购服务预算</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p>
    <w:p>
      <w:pPr>
        <w:ind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仿宋" w:hAnsi="仿宋" w:eastAsia="仿宋"/>
          <w:b/>
          <w:sz w:val="32"/>
          <w:szCs w:val="32"/>
        </w:rPr>
      </w:pPr>
      <w:r>
        <w:rPr>
          <w:rFonts w:hint="eastAsia" w:ascii="仿宋" w:hAnsi="仿宋" w:eastAsia="仿宋"/>
          <w:sz w:val="32"/>
          <w:szCs w:val="32"/>
        </w:rPr>
        <w:t>截至202</w:t>
      </w:r>
      <w:r>
        <w:rPr>
          <w:rFonts w:ascii="仿宋" w:hAnsi="仿宋" w:eastAsia="仿宋"/>
          <w:sz w:val="32"/>
          <w:szCs w:val="32"/>
        </w:rPr>
        <w:t>3</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月31日,</w:t>
      </w:r>
      <w:r>
        <w:rPr>
          <w:rFonts w:ascii="仿宋" w:hAnsi="仿宋" w:eastAsia="仿宋"/>
          <w:sz w:val="32"/>
          <w:szCs w:val="32"/>
        </w:rPr>
        <w:t xml:space="preserve"> </w:t>
      </w:r>
      <w:r>
        <w:rPr>
          <w:rFonts w:hint="eastAsia" w:ascii="仿宋" w:hAnsi="仿宋" w:eastAsia="仿宋"/>
          <w:sz w:val="32"/>
          <w:szCs w:val="32"/>
        </w:rPr>
        <w:t>单位共有车辆</w:t>
      </w:r>
      <w:r>
        <w:rPr>
          <w:rFonts w:hint="eastAsia" w:ascii="仿宋" w:hAnsi="仿宋" w:eastAsia="仿宋"/>
          <w:sz w:val="32"/>
          <w:szCs w:val="32"/>
          <w:lang w:val="en-US" w:eastAsia="zh-CN"/>
        </w:rPr>
        <w:t>0</w:t>
      </w:r>
      <w:r>
        <w:rPr>
          <w:rFonts w:hint="eastAsia" w:ascii="仿宋" w:hAnsi="仿宋" w:eastAsia="仿宋"/>
          <w:sz w:val="32"/>
          <w:szCs w:val="32"/>
        </w:rPr>
        <w:t>辆,其中：一般公务用车实有数</w:t>
      </w:r>
      <w:r>
        <w:rPr>
          <w:rFonts w:hint="eastAsia" w:ascii="仿宋" w:hAnsi="仿宋" w:eastAsia="仿宋"/>
          <w:sz w:val="32"/>
          <w:szCs w:val="32"/>
          <w:lang w:val="en-US" w:eastAsia="zh-CN"/>
        </w:rPr>
        <w:t>0</w:t>
      </w:r>
      <w:r>
        <w:rPr>
          <w:rFonts w:hint="eastAsia" w:ascii="仿宋" w:hAnsi="仿宋" w:eastAsia="仿宋"/>
          <w:sz w:val="32"/>
          <w:szCs w:val="32"/>
        </w:rPr>
        <w:t>辆,执法执勤用车实有数</w:t>
      </w:r>
      <w:r>
        <w:rPr>
          <w:rFonts w:hint="eastAsia" w:ascii="仿宋" w:hAnsi="仿宋" w:eastAsia="仿宋"/>
          <w:sz w:val="32"/>
          <w:szCs w:val="32"/>
          <w:lang w:val="en-US" w:eastAsia="zh-CN"/>
        </w:rPr>
        <w:t>0</w:t>
      </w:r>
      <w:r>
        <w:rPr>
          <w:rFonts w:hint="eastAsia" w:ascii="仿宋" w:hAnsi="仿宋" w:eastAsia="仿宋"/>
          <w:sz w:val="32"/>
          <w:szCs w:val="32"/>
        </w:rPr>
        <w:t>辆。</w:t>
      </w:r>
    </w:p>
    <w:p>
      <w:pPr>
        <w:ind w:firstLine="642"/>
        <w:rPr>
          <w:rFonts w:ascii="仿宋" w:hAnsi="仿宋" w:eastAsia="仿宋"/>
          <w:sz w:val="32"/>
          <w:szCs w:val="30"/>
        </w:rPr>
      </w:pPr>
      <w:r>
        <w:rPr>
          <w:rFonts w:hint="eastAsia" w:ascii="仿宋" w:hAnsi="仿宋" w:eastAsia="仿宋"/>
          <w:sz w:val="32"/>
          <w:szCs w:val="32"/>
        </w:rPr>
        <w:t>2024年单位预算安排购置车辆</w:t>
      </w:r>
      <w:r>
        <w:rPr>
          <w:rFonts w:hint="eastAsia" w:ascii="仿宋" w:hAnsi="仿宋" w:eastAsia="仿宋"/>
          <w:sz w:val="32"/>
          <w:szCs w:val="30"/>
          <w:u w:val="single"/>
          <w:lang w:val="en-US" w:eastAsia="zh-CN"/>
        </w:rPr>
        <w:t>0</w:t>
      </w:r>
      <w:r>
        <w:rPr>
          <w:rFonts w:hint="eastAsia" w:ascii="仿宋" w:hAnsi="仿宋" w:eastAsia="仿宋"/>
          <w:sz w:val="32"/>
          <w:szCs w:val="32"/>
        </w:rPr>
        <w:t>辆，安排购置单位价值200万元以上大型设备具体为：</w:t>
      </w:r>
      <w:r>
        <w:rPr>
          <w:rFonts w:hint="eastAsia" w:ascii="仿宋" w:hAnsi="仿宋" w:eastAsia="仿宋"/>
          <w:sz w:val="32"/>
          <w:szCs w:val="30"/>
          <w:u w:val="single"/>
          <w:lang w:val="en-US" w:eastAsia="zh-CN"/>
        </w:rPr>
        <w:t>无</w:t>
      </w:r>
      <w:r>
        <w:rPr>
          <w:rFonts w:hint="eastAsia" w:ascii="仿宋" w:hAnsi="仿宋" w:eastAsia="仿宋"/>
          <w:sz w:val="32"/>
          <w:szCs w:val="30"/>
          <w:u w:val="single"/>
        </w:rPr>
        <w:t xml:space="preserve"> </w:t>
      </w:r>
      <w:r>
        <w:rPr>
          <w:rFonts w:hint="eastAsia" w:ascii="仿宋" w:hAnsi="仿宋" w:eastAsia="仿宋"/>
          <w:sz w:val="32"/>
          <w:szCs w:val="30"/>
        </w:rPr>
        <w:t>。</w:t>
      </w:r>
    </w:p>
    <w:p>
      <w:pPr>
        <w:ind w:firstLine="320"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(九)“职工之家”物业费项目情况说明</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1.“职工之家”物业费项目 </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 xml:space="preserve"> 1）项目概述</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主要用于“职工之家”办公楼的管理费、保洁保安服务费、绿化费等，确保为广大工会会员及工会组织提供干净、整洁的讲座场地、活动场地以及文娱设施、体育配设。</w:t>
      </w:r>
    </w:p>
    <w:p>
      <w:pPr>
        <w:ind w:firstLine="640" w:firstLineChars="200"/>
        <w:jc w:val="left"/>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rPr>
        <w:t>）立项依据</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2020年《市政府与市总工会第13次联席座谈会议纪要》</w:t>
      </w:r>
    </w:p>
    <w:p>
      <w:pPr>
        <w:ind w:firstLine="640" w:firstLineChars="200"/>
        <w:jc w:val="left"/>
        <w:rPr>
          <w:rFonts w:hint="eastAsia" w:ascii="仿宋" w:hAnsi="仿宋" w:eastAsia="仿宋"/>
          <w:bCs/>
          <w:sz w:val="32"/>
          <w:szCs w:val="32"/>
        </w:rPr>
      </w:pPr>
      <w:r>
        <w:rPr>
          <w:rFonts w:hint="eastAsia" w:ascii="仿宋" w:hAnsi="仿宋" w:eastAsia="仿宋"/>
          <w:bCs/>
          <w:sz w:val="32"/>
          <w:szCs w:val="32"/>
          <w:lang w:val="en-US" w:eastAsia="zh-CN"/>
        </w:rPr>
        <w:t>3</w:t>
      </w:r>
      <w:r>
        <w:rPr>
          <w:rFonts w:hint="eastAsia" w:ascii="仿宋" w:hAnsi="仿宋" w:eastAsia="仿宋"/>
          <w:bCs/>
          <w:sz w:val="32"/>
          <w:szCs w:val="32"/>
        </w:rPr>
        <w:t>）实施主体</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九江市工人文化宫</w:t>
      </w:r>
    </w:p>
    <w:p>
      <w:pPr>
        <w:ind w:firstLine="640" w:firstLineChars="200"/>
        <w:jc w:val="left"/>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）实施方案</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用于八里湖职工之家区域的治安防范、消防安全、水电维护、保洁服务、绿化服务、灭虫服务以及电梯、供电、供水消防等设备设施的维护</w:t>
      </w:r>
    </w:p>
    <w:p>
      <w:pPr>
        <w:ind w:firstLine="640" w:firstLineChars="200"/>
        <w:jc w:val="left"/>
        <w:rPr>
          <w:rFonts w:hint="eastAsia" w:ascii="仿宋" w:hAnsi="仿宋" w:eastAsia="仿宋"/>
          <w:bCs/>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rPr>
        <w:t>）实施周期</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2024年1月至2024年12月</w:t>
      </w:r>
    </w:p>
    <w:p>
      <w:pPr>
        <w:ind w:firstLine="640" w:firstLineChars="200"/>
        <w:jc w:val="left"/>
        <w:rPr>
          <w:rFonts w:hint="eastAsia" w:ascii="仿宋" w:hAnsi="仿宋" w:eastAsia="仿宋"/>
          <w:bCs/>
          <w:sz w:val="32"/>
          <w:szCs w:val="32"/>
        </w:rPr>
      </w:pPr>
      <w:r>
        <w:rPr>
          <w:rFonts w:hint="eastAsia" w:ascii="仿宋" w:hAnsi="仿宋" w:eastAsia="仿宋"/>
          <w:bCs/>
          <w:sz w:val="32"/>
          <w:szCs w:val="32"/>
          <w:lang w:val="en-US" w:eastAsia="zh-CN"/>
        </w:rPr>
        <w:t>6</w:t>
      </w:r>
      <w:r>
        <w:rPr>
          <w:rFonts w:hint="eastAsia" w:ascii="仿宋" w:hAnsi="仿宋" w:eastAsia="仿宋"/>
          <w:bCs/>
          <w:sz w:val="32"/>
          <w:szCs w:val="32"/>
        </w:rPr>
        <w:t>）年度预算安排</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37万元</w:t>
      </w:r>
    </w:p>
    <w:p>
      <w:pPr>
        <w:ind w:firstLine="640" w:firstLineChars="200"/>
        <w:jc w:val="left"/>
        <w:rPr>
          <w:rFonts w:hint="eastAsia" w:ascii="仿宋" w:hAnsi="仿宋" w:eastAsia="仿宋"/>
          <w:bCs/>
          <w:sz w:val="32"/>
          <w:szCs w:val="32"/>
        </w:rPr>
      </w:pPr>
      <w:r>
        <w:rPr>
          <w:rFonts w:hint="eastAsia" w:ascii="仿宋" w:hAnsi="仿宋" w:eastAsia="仿宋"/>
          <w:bCs/>
          <w:sz w:val="32"/>
          <w:szCs w:val="32"/>
          <w:lang w:val="en-US" w:eastAsia="zh-CN"/>
        </w:rPr>
        <w:t>7</w:t>
      </w:r>
      <w:r>
        <w:rPr>
          <w:rFonts w:hint="eastAsia" w:ascii="仿宋" w:hAnsi="仿宋" w:eastAsia="仿宋"/>
          <w:bCs/>
          <w:sz w:val="32"/>
          <w:szCs w:val="32"/>
        </w:rPr>
        <w:t>）绩效目标和指标</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绩效目标：八里湖职工之家区域的治安防范、消防安全、水电维护、保洁服务、绿化服务、灭虫服务以及电梯、供电、供水消防等设备设施的维护。</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经济成本指标：经费成本37万元；</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数量指标：物业人数≥10人；</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质量指标：保障职工之家基础设施运行；</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时效指标：设备故障维护及时；</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社会效益指标：营造舒适的环境；</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满意度指标：受益群众满意度≥90%。</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2024年“三公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2024年</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${page400644146.ds215660413_REP_JXJC_AGENCY_WZR_NAME}</w:instrText>
      </w:r>
      <w:r>
        <w:rPr>
          <w:rFonts w:ascii="仿宋" w:hAnsi="仿宋" w:eastAsia="仿宋"/>
          <w:bCs/>
          <w:sz w:val="32"/>
          <w:szCs w:val="32"/>
        </w:rPr>
        <w:fldChar w:fldCharType="separate"/>
      </w:r>
      <w:r>
        <w:rPr>
          <w:rFonts w:ascii="仿宋" w:hAnsi="仿宋" w:eastAsia="仿宋"/>
          <w:bCs/>
          <w:sz w:val="32"/>
          <w:szCs w:val="32"/>
        </w:rPr>
        <w:t>九江市</w:t>
      </w:r>
      <w:r>
        <w:rPr>
          <w:rFonts w:hint="eastAsia" w:ascii="仿宋" w:hAnsi="仿宋" w:eastAsia="仿宋"/>
          <w:bCs/>
          <w:sz w:val="32"/>
          <w:szCs w:val="32"/>
          <w:lang w:eastAsia="zh-CN"/>
        </w:rPr>
        <w:t>工人文化宫</w:t>
      </w:r>
      <w:r>
        <w:fldChar w:fldCharType="end"/>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0</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val="en-US" w:eastAsia="zh-CN"/>
        </w:rPr>
        <w:t>0</w:t>
      </w:r>
      <w:r>
        <w:rPr>
          <w:rFonts w:ascii="仿宋" w:hAnsi="仿宋" w:eastAsia="仿宋"/>
          <w:bCs/>
          <w:sz w:val="32"/>
          <w:szCs w:val="32"/>
        </w:rPr>
        <w:t>_万元,比上年增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0"/>
          <w:rFonts w:hint="eastAsia" w:ascii="仿宋" w:hAnsi="仿宋" w:eastAsia="仿宋"/>
          <w:b/>
          <w:sz w:val="32"/>
          <w:szCs w:val="32"/>
        </w:rPr>
        <w:t>与上</w:t>
      </w:r>
      <w:r>
        <w:rPr>
          <w:rFonts w:hint="eastAsia" w:ascii="仿宋" w:hAnsi="仿宋" w:eastAsia="仿宋"/>
          <w:bCs/>
          <w:sz w:val="32"/>
          <w:szCs w:val="32"/>
        </w:rPr>
        <w:t>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end"/>
      </w: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2"/>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color w:val="000000"/>
          <w:sz w:val="32"/>
          <w:szCs w:val="30"/>
        </w:rPr>
        <w:t>财政拨款：指市级财政当年拨付的资金。</w:t>
      </w:r>
    </w:p>
    <w:p>
      <w:pPr>
        <w:widowControl/>
        <w:numPr>
          <w:ilvl w:val="0"/>
          <w:numId w:val="2"/>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（三）</w:t>
      </w:r>
      <w:r>
        <w:rPr>
          <w:rFonts w:hint="eastAsia" w:ascii="仿宋" w:hAnsi="仿宋" w:eastAsia="仿宋"/>
          <w:color w:val="000000"/>
          <w:sz w:val="32"/>
          <w:szCs w:val="30"/>
        </w:rPr>
        <w:t>事业收入：指事业单位开展专业业务活动及辅助活动取得的收入。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（四）</w:t>
      </w:r>
      <w:r>
        <w:rPr>
          <w:rFonts w:hint="eastAsia" w:ascii="仿宋" w:hAnsi="仿宋" w:eastAsia="仿宋"/>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仿宋" w:hAnsi="仿宋" w:eastAsia="仿宋"/>
          <w:sz w:val="32"/>
          <w:szCs w:val="32"/>
        </w:rPr>
      </w:pPr>
      <w:r>
        <w:rPr>
          <w:rFonts w:hint="eastAsia" w:ascii="仿宋" w:hAnsi="仿宋" w:eastAsia="仿宋"/>
          <w:sz w:val="32"/>
          <w:szCs w:val="30"/>
        </w:rPr>
        <w:t>（</w:t>
      </w:r>
      <w:r>
        <w:rPr>
          <w:rFonts w:hint="eastAsia" w:ascii="仿宋" w:hAnsi="仿宋" w:eastAsia="仿宋"/>
          <w:sz w:val="32"/>
          <w:szCs w:val="32"/>
        </w:rPr>
        <w:t>五）</w:t>
      </w:r>
      <w:r>
        <w:rPr>
          <w:rFonts w:hint="eastAsia" w:ascii="仿宋" w:hAnsi="仿宋" w:eastAsia="仿宋"/>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 w:hAnsi="仿宋" w:eastAsia="仿宋"/>
          <w:color w:val="000000"/>
          <w:sz w:val="32"/>
          <w:szCs w:val="30"/>
        </w:rPr>
      </w:pPr>
      <w:r>
        <w:rPr>
          <w:rFonts w:hint="eastAsia" w:ascii="仿宋" w:hAnsi="仿宋" w:eastAsia="仿宋"/>
          <w:sz w:val="32"/>
          <w:szCs w:val="32"/>
        </w:rPr>
        <w:t>（六）</w:t>
      </w:r>
      <w:r>
        <w:rPr>
          <w:rFonts w:hint="eastAsia" w:ascii="仿宋" w:hAnsi="仿宋" w:eastAsia="仿宋"/>
          <w:color w:val="000000"/>
          <w:sz w:val="32"/>
          <w:szCs w:val="30"/>
        </w:rPr>
        <w:t>上级补助收入：反映事业单位从主管部门和上级单位取得的非财政补助收入。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（七）</w:t>
      </w:r>
      <w:r>
        <w:rPr>
          <w:rFonts w:hint="eastAsia" w:ascii="仿宋" w:hAnsi="仿宋" w:eastAsia="仿宋"/>
          <w:color w:val="000000"/>
          <w:sz w:val="32"/>
          <w:szCs w:val="30"/>
        </w:rPr>
        <w:t>其他收入：指除财政拨款、事业收入、事业单位经营收入等以外的各项收入。</w:t>
      </w:r>
    </w:p>
    <w:p>
      <w:pPr>
        <w:ind w:firstLine="640" w:firstLineChars="200"/>
        <w:rPr>
          <w:rFonts w:ascii="仿宋" w:hAnsi="仿宋" w:eastAsia="仿宋"/>
          <w:color w:val="000000"/>
          <w:sz w:val="32"/>
          <w:szCs w:val="30"/>
        </w:rPr>
      </w:pPr>
      <w:r>
        <w:rPr>
          <w:rFonts w:hint="eastAsia" w:ascii="仿宋" w:hAnsi="仿宋" w:eastAsia="仿宋"/>
          <w:sz w:val="32"/>
          <w:szCs w:val="32"/>
        </w:rPr>
        <w:t>（八）</w:t>
      </w:r>
      <w:r>
        <w:rPr>
          <w:rFonts w:hint="eastAsia" w:ascii="仿宋" w:hAnsi="仿宋" w:eastAsia="仿宋"/>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Adobe 仿宋 Std R" w:hAnsi="Adobe 仿宋 Std R" w:eastAsia="Adobe 仿宋 Std R"/>
          <w:sz w:val="32"/>
          <w:szCs w:val="32"/>
        </w:rPr>
      </w:pPr>
      <w:r>
        <w:rPr>
          <w:rFonts w:hint="eastAsia" w:ascii="仿宋" w:hAnsi="仿宋" w:eastAsia="仿宋"/>
          <w:sz w:val="32"/>
          <w:szCs w:val="32"/>
        </w:rPr>
        <w:t>（九）</w:t>
      </w:r>
      <w:r>
        <w:rPr>
          <w:rFonts w:hint="eastAsia" w:ascii="仿宋" w:hAnsi="仿宋" w:eastAsia="仿宋"/>
          <w:color w:val="000000"/>
          <w:sz w:val="32"/>
          <w:szCs w:val="30"/>
        </w:rPr>
        <w:t>上年结转和结余：填列202</w:t>
      </w:r>
      <w:r>
        <w:rPr>
          <w:rFonts w:ascii="仿宋" w:hAnsi="仿宋" w:eastAsia="仿宋"/>
          <w:color w:val="000000"/>
          <w:sz w:val="32"/>
          <w:szCs w:val="30"/>
        </w:rPr>
        <w:t>3</w:t>
      </w:r>
      <w:r>
        <w:rPr>
          <w:rFonts w:hint="eastAsia" w:ascii="仿宋" w:hAnsi="仿宋" w:eastAsia="仿宋"/>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（一）一般公共服务支出：反映政府提供一般公共服务的支出。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1、群众团体事务：反映各级人民团体、社会团体、群众团体以及工会、妇联、共青团组织（包括中华青年联合会）等方面的支出。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（二）社会保障和就业支出：反映政府在社会保障与就业方面的支出。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1、行政事业单位离退休：反映用于行政事业单位离退休方面的支出。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⑴归口管理的行政单位离退休：反映实行归口管理的行政单位（包括实行公务员管理的事业单位）开支的离退休经费。</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⑵事业单位离退休：反映实行归口管理的事业单位开支的离退休经费。</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⑶机关事业单位基本养老保险缴费支出：反映机关事业单位实施养老保险制度由单位缴纳的基本养老保险费的支出。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（三）医疗卫生与计划生育支出：反映政府医疗卫生与计划生育管理方面的支出。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1、行政事业单位医疗：反映行政事业单位医疗方面的支出。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⑴行政单位医疗：反映财政部门集中安排的行政单位基本医疗保险缴费经费。</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⑵事业单位医疗：反映财政部门集中安排的事业单位基本医疗保险缴费经费。</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（四）住房保障支出：集中反映政府用于住房方面的支出。</w:t>
      </w:r>
    </w:p>
    <w:p>
      <w:pPr>
        <w:ind w:firstLine="640" w:firstLineChars="200"/>
        <w:rPr>
          <w:rFonts w:hint="eastAsia" w:ascii="仿宋" w:hAnsi="仿宋" w:eastAsia="仿宋"/>
          <w:color w:val="000000"/>
          <w:sz w:val="32"/>
          <w:szCs w:val="30"/>
        </w:rPr>
      </w:pPr>
      <w:r>
        <w:rPr>
          <w:rFonts w:hint="eastAsia" w:ascii="仿宋" w:hAnsi="仿宋" w:eastAsia="仿宋"/>
          <w:color w:val="000000"/>
          <w:sz w:val="32"/>
          <w:szCs w:val="30"/>
        </w:rPr>
        <w:t>1、住房公积金：反映行政事业单位按人力资源和社会保障部、财政部规定的基本工资和津贴补贴以及规定比例为职工缴纳的住房公积金。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color w:val="000000"/>
          <w:sz w:val="32"/>
          <w:szCs w:val="30"/>
        </w:rPr>
      </w:pPr>
      <w:r>
        <w:rPr>
          <w:rFonts w:hint="eastAsia" w:ascii="仿宋" w:hAnsi="仿宋" w:eastAsia="仿宋"/>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color w:val="000000"/>
          <w:sz w:val="32"/>
          <w:szCs w:val="30"/>
        </w:rPr>
      </w:pPr>
      <w:r>
        <w:rPr>
          <w:rFonts w:hint="eastAsia" w:ascii="仿宋" w:hAnsi="仿宋" w:eastAsia="仿宋"/>
          <w:color w:val="000000"/>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widowControl/>
        <w:spacing w:line="600" w:lineRule="exact"/>
        <w:ind w:firstLine="640" w:firstLineChars="200"/>
        <w:jc w:val="left"/>
        <w:rPr>
          <w:rFonts w:ascii="仿宋" w:hAnsi="仿宋" w:eastAsia="仿宋"/>
          <w:sz w:val="32"/>
          <w:szCs w:val="32"/>
        </w:rPr>
      </w:pPr>
      <w:r>
        <w:rPr>
          <w:rFonts w:hint="eastAsia" w:ascii="仿宋" w:hAnsi="仿宋" w:eastAsia="仿宋"/>
          <w:color w:val="000000"/>
          <w:sz w:val="32"/>
          <w:szCs w:val="32"/>
        </w:rPr>
        <w:t>（三）若有其他相关专业名词解释，由</w:t>
      </w:r>
      <w:r>
        <w:rPr>
          <w:rFonts w:hint="eastAsia" w:ascii="仿宋" w:hAnsi="仿宋" w:eastAsia="仿宋"/>
          <w:sz w:val="32"/>
          <w:szCs w:val="32"/>
        </w:rPr>
        <w:t>单位结合实际填写</w:t>
      </w:r>
    </w:p>
    <w:p>
      <w:pPr>
        <w:widowControl/>
        <w:spacing w:line="600" w:lineRule="exact"/>
        <w:ind w:firstLine="640" w:firstLineChars="200"/>
        <w:jc w:val="left"/>
        <w:rPr>
          <w:rFonts w:hint="eastAsia" w:ascii="仿宋" w:hAnsi="仿宋" w:eastAsia="仿宋"/>
          <w:color w:val="000000"/>
          <w:sz w:val="32"/>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altName w:val="Arial Unicode MS"/>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abstractNum w:abstractNumId="1">
    <w:nsid w:val="7DA59B74"/>
    <w:multiLevelType w:val="singleLevel"/>
    <w:tmpl w:val="7DA59B7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MTc4ZTFkZWQ1MDQxMDQ3Nzg4NzU4OTM5MTM3NzMifQ=="/>
  </w:docVars>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97B57"/>
    <w:rsid w:val="000A2066"/>
    <w:rsid w:val="000A693E"/>
    <w:rsid w:val="000B4F9E"/>
    <w:rsid w:val="000C6AF7"/>
    <w:rsid w:val="000E1147"/>
    <w:rsid w:val="000E1BC2"/>
    <w:rsid w:val="000E6313"/>
    <w:rsid w:val="000F227D"/>
    <w:rsid w:val="000F2E5F"/>
    <w:rsid w:val="000F4BCE"/>
    <w:rsid w:val="00104F58"/>
    <w:rsid w:val="00105A38"/>
    <w:rsid w:val="00117D8C"/>
    <w:rsid w:val="00131F78"/>
    <w:rsid w:val="00143884"/>
    <w:rsid w:val="00144EB3"/>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96654"/>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560FC"/>
    <w:rsid w:val="0036119C"/>
    <w:rsid w:val="00380DD1"/>
    <w:rsid w:val="00394DC6"/>
    <w:rsid w:val="003959F5"/>
    <w:rsid w:val="003A2923"/>
    <w:rsid w:val="003B68F4"/>
    <w:rsid w:val="003B76FD"/>
    <w:rsid w:val="003C0BFF"/>
    <w:rsid w:val="003C0D66"/>
    <w:rsid w:val="003C19AF"/>
    <w:rsid w:val="003C4851"/>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46B3"/>
    <w:rsid w:val="004D6A23"/>
    <w:rsid w:val="004E0577"/>
    <w:rsid w:val="004E5555"/>
    <w:rsid w:val="004F51F3"/>
    <w:rsid w:val="004F5378"/>
    <w:rsid w:val="004F7260"/>
    <w:rsid w:val="005006DE"/>
    <w:rsid w:val="00502AB1"/>
    <w:rsid w:val="00516279"/>
    <w:rsid w:val="005210F0"/>
    <w:rsid w:val="0052565B"/>
    <w:rsid w:val="00526265"/>
    <w:rsid w:val="00526CE0"/>
    <w:rsid w:val="00532264"/>
    <w:rsid w:val="00541FE6"/>
    <w:rsid w:val="00544895"/>
    <w:rsid w:val="00553AA6"/>
    <w:rsid w:val="0055670D"/>
    <w:rsid w:val="00563071"/>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0E94"/>
    <w:rsid w:val="006C185B"/>
    <w:rsid w:val="006C3868"/>
    <w:rsid w:val="006E25EE"/>
    <w:rsid w:val="006E470E"/>
    <w:rsid w:val="006F20BD"/>
    <w:rsid w:val="00704CAB"/>
    <w:rsid w:val="00723F08"/>
    <w:rsid w:val="007424E0"/>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55027"/>
    <w:rsid w:val="00863898"/>
    <w:rsid w:val="00865CCE"/>
    <w:rsid w:val="00872CE4"/>
    <w:rsid w:val="00875B04"/>
    <w:rsid w:val="00875C3A"/>
    <w:rsid w:val="00876D17"/>
    <w:rsid w:val="00882C91"/>
    <w:rsid w:val="00884FAE"/>
    <w:rsid w:val="00894455"/>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61C8A"/>
    <w:rsid w:val="00A81B89"/>
    <w:rsid w:val="00A81BA2"/>
    <w:rsid w:val="00AA4301"/>
    <w:rsid w:val="00AB4B24"/>
    <w:rsid w:val="00AB656D"/>
    <w:rsid w:val="00AB7307"/>
    <w:rsid w:val="00AC370A"/>
    <w:rsid w:val="00AD40D5"/>
    <w:rsid w:val="00AE09D7"/>
    <w:rsid w:val="00AF095D"/>
    <w:rsid w:val="00AF3859"/>
    <w:rsid w:val="00AF57C9"/>
    <w:rsid w:val="00AF62CD"/>
    <w:rsid w:val="00B128C8"/>
    <w:rsid w:val="00B15E09"/>
    <w:rsid w:val="00B169A7"/>
    <w:rsid w:val="00B348A8"/>
    <w:rsid w:val="00B5453F"/>
    <w:rsid w:val="00B619F8"/>
    <w:rsid w:val="00B6242B"/>
    <w:rsid w:val="00B71EBE"/>
    <w:rsid w:val="00B82840"/>
    <w:rsid w:val="00BA572C"/>
    <w:rsid w:val="00BB676A"/>
    <w:rsid w:val="00C03AFB"/>
    <w:rsid w:val="00C33157"/>
    <w:rsid w:val="00C35830"/>
    <w:rsid w:val="00C474E4"/>
    <w:rsid w:val="00C608F5"/>
    <w:rsid w:val="00C61B8F"/>
    <w:rsid w:val="00C644A7"/>
    <w:rsid w:val="00C771B3"/>
    <w:rsid w:val="00C803DA"/>
    <w:rsid w:val="00C82CA3"/>
    <w:rsid w:val="00CC076E"/>
    <w:rsid w:val="00CC1B30"/>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43554"/>
    <w:rsid w:val="00D524EE"/>
    <w:rsid w:val="00D666BC"/>
    <w:rsid w:val="00D678E3"/>
    <w:rsid w:val="00D86F52"/>
    <w:rsid w:val="00D87F9D"/>
    <w:rsid w:val="00DA3C2B"/>
    <w:rsid w:val="00DD15FE"/>
    <w:rsid w:val="00DE2065"/>
    <w:rsid w:val="00DE20E0"/>
    <w:rsid w:val="00DE5904"/>
    <w:rsid w:val="00DE6773"/>
    <w:rsid w:val="00DF29E5"/>
    <w:rsid w:val="00DF2E83"/>
    <w:rsid w:val="00DF43D8"/>
    <w:rsid w:val="00E01C5E"/>
    <w:rsid w:val="00E04E74"/>
    <w:rsid w:val="00E11187"/>
    <w:rsid w:val="00E147FF"/>
    <w:rsid w:val="00E17924"/>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0FF7FED"/>
    <w:rsid w:val="04037363"/>
    <w:rsid w:val="067A6028"/>
    <w:rsid w:val="0C486A95"/>
    <w:rsid w:val="0C97247A"/>
    <w:rsid w:val="0DB3098E"/>
    <w:rsid w:val="206D0602"/>
    <w:rsid w:val="2176107F"/>
    <w:rsid w:val="22430342"/>
    <w:rsid w:val="259855AB"/>
    <w:rsid w:val="25B931E9"/>
    <w:rsid w:val="2828673B"/>
    <w:rsid w:val="2C57797E"/>
    <w:rsid w:val="2F914261"/>
    <w:rsid w:val="3328400E"/>
    <w:rsid w:val="3A841EE9"/>
    <w:rsid w:val="3A9F1A72"/>
    <w:rsid w:val="3B7D1841"/>
    <w:rsid w:val="3F383632"/>
    <w:rsid w:val="4052753A"/>
    <w:rsid w:val="45A10DF9"/>
    <w:rsid w:val="53516268"/>
    <w:rsid w:val="56C47F55"/>
    <w:rsid w:val="5BE5315B"/>
    <w:rsid w:val="63E33020"/>
    <w:rsid w:val="69503AB2"/>
    <w:rsid w:val="6BE248E5"/>
    <w:rsid w:val="6E8D497A"/>
    <w:rsid w:val="6EDB6140"/>
    <w:rsid w:val="6F135451"/>
    <w:rsid w:val="72096764"/>
    <w:rsid w:val="73A85115"/>
    <w:rsid w:val="7D4F4203"/>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000FF"/>
      <w:u w:val="single"/>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 w:type="character" w:customStyle="1" w:styleId="9">
    <w:name w:val="row_tree_level_3"/>
    <w:basedOn w:val="5"/>
    <w:autoRedefine/>
    <w:qFormat/>
    <w:uiPriority w:val="0"/>
  </w:style>
  <w:style w:type="character" w:customStyle="1" w:styleId="10">
    <w:name w:val="row_tree_level_4"/>
    <w:basedOn w:val="5"/>
    <w:autoRedefine/>
    <w:qFormat/>
    <w:uiPriority w:val="0"/>
  </w:style>
  <w:style w:type="paragraph" w:customStyle="1" w:styleId="11">
    <w:name w:val="p0"/>
    <w:basedOn w:val="1"/>
    <w:autoRedefine/>
    <w:qFormat/>
    <w:uiPriority w:val="0"/>
    <w:pPr>
      <w:widowControl/>
    </w:pPr>
    <w:rPr>
      <w:rFonts w:ascii="Times New Roman" w:hAnsi="Times New Roman" w:eastAsia="宋体" w:cs="Times New Roman"/>
      <w:kern w:val="0"/>
      <w:szCs w:val="21"/>
    </w:rPr>
  </w:style>
  <w:style w:type="character" w:customStyle="1" w:styleId="12">
    <w:name w:val="15"/>
    <w:basedOn w:val="5"/>
    <w:autoRedefine/>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890</Words>
  <Characters>5074</Characters>
  <Lines>42</Lines>
  <Paragraphs>11</Paragraphs>
  <TotalTime>20</TotalTime>
  <ScaleCrop>false</ScaleCrop>
  <LinksUpToDate>false</LinksUpToDate>
  <CharactersWithSpaces>5953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cp:lastPrinted>2024-02-22T07:51:00Z</cp:lastPrinted>
  <dcterms:modified xsi:type="dcterms:W3CDTF">2024-02-22T08:22:31Z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2C7CED1477224136AC5862EDA81C5C41_13</vt:lpwstr>
  </property>
</Properties>
</file>